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DB60B" w14:textId="77777777" w:rsidR="009B20DC" w:rsidRDefault="009B20DC" w:rsidP="009B20DC">
      <w:r>
        <w:t>__A seguito dell’elevato numero di richieste pervenute nei primi giorni di apertura del portale del Conto Termico “3.0”, il GSE ha comunicato la sospensione temporanea della presentazione di nuove richieste di incentivo. Tutto fermo, insomma, a pochi giorni dall’attivazione del Conto termico 3.0. La criticità era stata già segnalata dalla presidente ANTIAL FLA,  presidente della VI Commissione dell’Intergruppo parlamentare Sud e Isole Minori ,Paola Marone, durante il convegno organizzato il 13 febbraio scorso dall’Ordine degli Ingegneri di Napoli.</w:t>
      </w:r>
    </w:p>
    <w:p w14:paraId="1E3D711B" w14:textId="77777777" w:rsidR="009B20DC" w:rsidRDefault="009B20DC" w:rsidP="009B20DC">
      <w:r>
        <w:t>La sospensione - sottolinea la nota pubblicata sul sito istituzionale del Gestore dei servizi energetici - è stata adottata in via “prudenziale” per consentire di compiere le attività di istruttoria e di verifica delle domande presentate, nel rispetto dei limiti annuali di spesa previsti dal D.M. 7.08.2025 e per garantire la sostenibilità degli impegni finanziari.</w:t>
      </w:r>
    </w:p>
    <w:p w14:paraId="3628D99F" w14:textId="77777777" w:rsidR="009B20DC" w:rsidRDefault="009B20DC" w:rsidP="009B20DC">
      <w:r>
        <w:t>Attualmente, si legge nel comunicato, le richieste pervenute ammontano a circa 1,3 miliardi di euro (per un totale di 3.333 pratiche avviate), rispetto a un plafond di 900 milioni.</w:t>
      </w:r>
    </w:p>
    <w:p w14:paraId="5831872C" w14:textId="77777777" w:rsidR="009B20DC" w:rsidRDefault="009B20DC" w:rsidP="009B20DC">
      <w:r>
        <w:t xml:space="preserve">Il portale del Conto Termico “3.0” sarà riattivato non appena concluse le necessarie verifiche operative. Una parte delle richieste, infatti, potrebbe essere non ammissibile. Fatto questo lavoro di analisi, si capirà se una parte del plafond resta disponibile.  </w:t>
      </w:r>
    </w:p>
    <w:p w14:paraId="198E0DD7" w14:textId="30407939" w:rsidR="00B53345" w:rsidRDefault="00B53345" w:rsidP="009B20DC">
      <w:r>
        <w:t>I</w:t>
      </w:r>
      <w:r w:rsidRPr="00B53345">
        <w:t xml:space="preserve">n occasione del Convegno “La centralità dell’efficienza energetica per la competitività, la sicurezza energetica e la decarbonizzazione” (svoltosi nella giornata di ieri </w:t>
      </w:r>
      <w:r>
        <w:t xml:space="preserve">5 marzo </w:t>
      </w:r>
      <w:r w:rsidRPr="00B53345">
        <w:t>a Key energy),</w:t>
      </w:r>
      <w:r>
        <w:t xml:space="preserve"> l</w:t>
      </w:r>
      <w:r w:rsidRPr="00B53345">
        <w:t>’amministratore delegato del GSE ha dichiarato che, fra qualche settimana (3 o 4), dovrebbe riaprire il portale del Conto Termico 3.0 per i soggetti privati.</w:t>
      </w:r>
    </w:p>
    <w:p w14:paraId="30377C9B" w14:textId="77777777" w:rsidR="00114B47" w:rsidRDefault="00114B47" w:rsidP="009B20DC">
      <w:r>
        <w:t>Si è quindi in presenza  di una parziale buona notizia per i soli soggetti privati.</w:t>
      </w:r>
    </w:p>
    <w:p w14:paraId="30E4F5AD" w14:textId="131DCF57" w:rsidR="009B20DC" w:rsidRDefault="00114B47" w:rsidP="009B20DC">
      <w:r>
        <w:t>Ciò nonostante la</w:t>
      </w:r>
      <w:r w:rsidR="009B20DC">
        <w:t xml:space="preserve"> comunicazione del GSE relativa alla chiusura anticipata della piattaforma ha generato</w:t>
      </w:r>
      <w:r>
        <w:t>,</w:t>
      </w:r>
      <w:r w:rsidRPr="00114B47">
        <w:t xml:space="preserve"> </w:t>
      </w:r>
      <w:r>
        <w:t xml:space="preserve">come prevedibile, </w:t>
      </w:r>
      <w:r w:rsidR="009B20DC">
        <w:t xml:space="preserve"> criticità operative rilevanti</w:t>
      </w:r>
      <w:r w:rsidR="00B53345">
        <w:t xml:space="preserve"> quali</w:t>
      </w:r>
      <w:r w:rsidR="009B20DC">
        <w:t>:</w:t>
      </w:r>
    </w:p>
    <w:p w14:paraId="5AB1BAA6" w14:textId="01D245E8" w:rsidR="009B20DC" w:rsidRDefault="00B53345" w:rsidP="00B53345">
      <w:pPr>
        <w:pStyle w:val="Paragrafoelenco"/>
        <w:numPr>
          <w:ilvl w:val="0"/>
          <w:numId w:val="3"/>
        </w:numPr>
      </w:pPr>
      <w:r>
        <w:t>l’</w:t>
      </w:r>
      <w:r w:rsidR="009B20DC">
        <w:t>interruzione dei caricamenti in corso e incertezza sull’esito delle domande già trasmesse;</w:t>
      </w:r>
    </w:p>
    <w:p w14:paraId="444B4D16" w14:textId="2BB6DC30" w:rsidR="009B20DC" w:rsidRDefault="00B53345" w:rsidP="00B53345">
      <w:pPr>
        <w:pStyle w:val="Paragrafoelenco"/>
        <w:numPr>
          <w:ilvl w:val="0"/>
          <w:numId w:val="3"/>
        </w:numPr>
      </w:pPr>
      <w:r>
        <w:t xml:space="preserve">il </w:t>
      </w:r>
      <w:r w:rsidR="009B20DC">
        <w:t>rischio di blocco o rinvio degli investimenti programmati, in particolare per i progetti già avviati;</w:t>
      </w:r>
    </w:p>
    <w:p w14:paraId="7F80A30C" w14:textId="617BF669" w:rsidR="009B20DC" w:rsidRDefault="00B53345" w:rsidP="00B53345">
      <w:pPr>
        <w:pStyle w:val="Paragrafoelenco"/>
        <w:numPr>
          <w:ilvl w:val="0"/>
          <w:numId w:val="3"/>
        </w:numPr>
      </w:pPr>
      <w:r>
        <w:t>l’</w:t>
      </w:r>
      <w:r w:rsidR="009B20DC">
        <w:t>assenza di un meccanismo di lista d’attesa o di salvaguardia per i soggetti che avevano predisposto la documentazione.</w:t>
      </w:r>
    </w:p>
    <w:p w14:paraId="53103DD6" w14:textId="77777777" w:rsidR="009B20DC" w:rsidRDefault="009B20DC" w:rsidP="009B20DC">
      <w:r>
        <w:t>In considerazione di quanto esposto le Commissioni VI, XIV e XXIII dell’Intergruppo parlamentare Sud e Isole Minori presieduto dall’On. Caramiello al fine di :</w:t>
      </w:r>
    </w:p>
    <w:p w14:paraId="2D096B40" w14:textId="4E5B6E00" w:rsidR="009B20DC" w:rsidRDefault="009B20DC" w:rsidP="009B20DC">
      <w:pPr>
        <w:pStyle w:val="Paragrafoelenco"/>
        <w:numPr>
          <w:ilvl w:val="0"/>
          <w:numId w:val="1"/>
        </w:numPr>
      </w:pPr>
      <w:r>
        <w:t>garantire una gestione ordinata delle domande già caricate;</w:t>
      </w:r>
    </w:p>
    <w:p w14:paraId="4774DCF1" w14:textId="6F9456B2" w:rsidR="009B20DC" w:rsidRDefault="009B20DC" w:rsidP="009B20DC">
      <w:pPr>
        <w:pStyle w:val="Paragrafoelenco"/>
        <w:numPr>
          <w:ilvl w:val="0"/>
          <w:numId w:val="1"/>
        </w:numPr>
      </w:pPr>
      <w:r>
        <w:t xml:space="preserve">tutelare gli investimenti avviati prima della chiusura della piattaforma;    </w:t>
      </w:r>
    </w:p>
    <w:p w14:paraId="6B0E2349" w14:textId="47C10265" w:rsidR="009B20DC" w:rsidRDefault="009B20DC" w:rsidP="009B20DC">
      <w:pPr>
        <w:pStyle w:val="Paragrafoelenco"/>
        <w:numPr>
          <w:ilvl w:val="0"/>
          <w:numId w:val="1"/>
        </w:numPr>
      </w:pPr>
      <w:r>
        <w:t>assicurare maggiore prevedibilità nell’operatività del GSE, evitando interruzioni improvvise</w:t>
      </w:r>
    </w:p>
    <w:p w14:paraId="6D372268" w14:textId="02B4537E" w:rsidR="00C60F22" w:rsidRDefault="00C60F22" w:rsidP="00C60F22">
      <w:r>
        <w:t>ritengono che occorre mantenere alta l’attenzione politica sul tema, assicurando:</w:t>
      </w:r>
    </w:p>
    <w:p w14:paraId="1A23A806" w14:textId="77777777" w:rsidR="00C60F22" w:rsidRDefault="00C60F22" w:rsidP="00C60F22">
      <w:pPr>
        <w:pStyle w:val="Paragrafoelenco"/>
        <w:numPr>
          <w:ilvl w:val="0"/>
          <w:numId w:val="2"/>
        </w:numPr>
      </w:pPr>
      <w:r>
        <w:t>certezza normativa per gli investimenti in corso;</w:t>
      </w:r>
    </w:p>
    <w:p w14:paraId="64F1BC1A" w14:textId="77777777" w:rsidR="00C60F22" w:rsidRDefault="00C60F22" w:rsidP="00C60F22">
      <w:pPr>
        <w:pStyle w:val="Paragrafoelenco"/>
        <w:numPr>
          <w:ilvl w:val="0"/>
          <w:numId w:val="2"/>
        </w:numPr>
      </w:pPr>
      <w:r>
        <w:t>un quadro di risorse adeguato per il 2026, anche tramite il riutilizzo di ulteriori eventuali somme stanziate ma non impegnate;</w:t>
      </w:r>
    </w:p>
    <w:p w14:paraId="184A5D75" w14:textId="409CB436" w:rsidR="009B20DC" w:rsidRPr="00BF632B" w:rsidRDefault="00BF632B" w:rsidP="00BF632B">
      <w:pPr>
        <w:jc w:val="center"/>
        <w:rPr>
          <w:b/>
          <w:bCs/>
        </w:rPr>
      </w:pPr>
      <w:r w:rsidRPr="00BF632B">
        <w:rPr>
          <w:b/>
          <w:bCs/>
        </w:rPr>
        <w:t>propongono di</w:t>
      </w:r>
    </w:p>
    <w:p w14:paraId="186C9AD6" w14:textId="2FDEA9AF" w:rsidR="009B20DC" w:rsidRDefault="009B20DC" w:rsidP="00BF632B">
      <w:pPr>
        <w:pStyle w:val="Paragrafoelenco"/>
        <w:numPr>
          <w:ilvl w:val="0"/>
          <w:numId w:val="5"/>
        </w:numPr>
      </w:pPr>
      <w:r>
        <w:t>Intervenire immediatamente con un provvedimento correttivo;</w:t>
      </w:r>
    </w:p>
    <w:p w14:paraId="197CCC33" w14:textId="394A2CFB" w:rsidR="009B20DC" w:rsidRDefault="009B20DC" w:rsidP="00BF632B">
      <w:pPr>
        <w:pStyle w:val="Paragrafoelenco"/>
        <w:numPr>
          <w:ilvl w:val="0"/>
          <w:numId w:val="5"/>
        </w:numPr>
      </w:pPr>
      <w:r>
        <w:t>Prevedere un rifinanziamento</w:t>
      </w:r>
      <w:r>
        <w:t xml:space="preserve"> </w:t>
      </w:r>
      <w:r>
        <w:t xml:space="preserve"> </w:t>
      </w:r>
      <w:r>
        <w:t>e/</w:t>
      </w:r>
      <w:r>
        <w:t>o una misura transitoria che eviti effetti distorsivi e perdita di ompetitività;</w:t>
      </w:r>
    </w:p>
    <w:p w14:paraId="54523FB0" w14:textId="3F58C04B" w:rsidR="00E42ACD" w:rsidRDefault="00C60F22" w:rsidP="00C60F22">
      <w:pPr>
        <w:pStyle w:val="Paragrafoelenco"/>
        <w:numPr>
          <w:ilvl w:val="0"/>
          <w:numId w:val="5"/>
        </w:numPr>
      </w:pPr>
      <w:r>
        <w:lastRenderedPageBreak/>
        <w:t>Costituire</w:t>
      </w:r>
      <w:r w:rsidR="00B53345" w:rsidRPr="00C60F22">
        <w:t xml:space="preserve"> </w:t>
      </w:r>
      <w:r w:rsidR="009B20DC" w:rsidRPr="00C60F22">
        <w:t xml:space="preserve">una Cabina di Coordinamento tra MIMIT, MEF ,GSE </w:t>
      </w:r>
      <w:r>
        <w:t xml:space="preserve"> invitando anche</w:t>
      </w:r>
      <w:r w:rsidR="009B20DC" w:rsidRPr="00C60F22">
        <w:t xml:space="preserve"> Associazioni di Categoria e Ordini Professionali di competenza per evitare ulteriori discontinuità</w:t>
      </w:r>
      <w:r w:rsidR="009B20DC">
        <w:t>.</w:t>
      </w:r>
    </w:p>
    <w:sectPr w:rsidR="00E42AC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834AFA"/>
    <w:multiLevelType w:val="hybridMultilevel"/>
    <w:tmpl w:val="A2B0A42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F74757A"/>
    <w:multiLevelType w:val="hybridMultilevel"/>
    <w:tmpl w:val="4F4EE71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B797529"/>
    <w:multiLevelType w:val="hybridMultilevel"/>
    <w:tmpl w:val="DA12725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D677CB8"/>
    <w:multiLevelType w:val="hybridMultilevel"/>
    <w:tmpl w:val="FD88D7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0E6109A"/>
    <w:multiLevelType w:val="hybridMultilevel"/>
    <w:tmpl w:val="35B245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38643483">
    <w:abstractNumId w:val="3"/>
  </w:num>
  <w:num w:numId="2" w16cid:durableId="1726636754">
    <w:abstractNumId w:val="4"/>
  </w:num>
  <w:num w:numId="3" w16cid:durableId="1582639458">
    <w:abstractNumId w:val="1"/>
  </w:num>
  <w:num w:numId="4" w16cid:durableId="63383549">
    <w:abstractNumId w:val="2"/>
  </w:num>
  <w:num w:numId="5" w16cid:durableId="97139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0DC"/>
    <w:rsid w:val="00114B47"/>
    <w:rsid w:val="002F0971"/>
    <w:rsid w:val="004B5BAE"/>
    <w:rsid w:val="008569BC"/>
    <w:rsid w:val="009B20DC"/>
    <w:rsid w:val="00B53345"/>
    <w:rsid w:val="00BF632B"/>
    <w:rsid w:val="00C60F22"/>
    <w:rsid w:val="00E42A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58819"/>
  <w15:chartTrackingRefBased/>
  <w15:docId w15:val="{43148B69-50C3-4E4A-8AAC-3A1199C2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B2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9B2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9B20D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9B20D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9B20D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9B20D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9B20D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9B20D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9B20D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B20D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9B20D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9B20D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9B20D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9B20D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9B20D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B20D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B20D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B20DC"/>
    <w:rPr>
      <w:rFonts w:eastAsiaTheme="majorEastAsia" w:cstheme="majorBidi"/>
      <w:color w:val="272727" w:themeColor="text1" w:themeTint="D8"/>
    </w:rPr>
  </w:style>
  <w:style w:type="paragraph" w:styleId="Titolo">
    <w:name w:val="Title"/>
    <w:basedOn w:val="Normale"/>
    <w:next w:val="Normale"/>
    <w:link w:val="TitoloCarattere"/>
    <w:uiPriority w:val="10"/>
    <w:qFormat/>
    <w:rsid w:val="009B20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B20D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B20D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B20D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B20D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B20DC"/>
    <w:rPr>
      <w:i/>
      <w:iCs/>
      <w:color w:val="404040" w:themeColor="text1" w:themeTint="BF"/>
    </w:rPr>
  </w:style>
  <w:style w:type="paragraph" w:styleId="Paragrafoelenco">
    <w:name w:val="List Paragraph"/>
    <w:basedOn w:val="Normale"/>
    <w:uiPriority w:val="34"/>
    <w:qFormat/>
    <w:rsid w:val="009B20DC"/>
    <w:pPr>
      <w:ind w:left="720"/>
      <w:contextualSpacing/>
    </w:pPr>
  </w:style>
  <w:style w:type="character" w:styleId="Enfasiintensa">
    <w:name w:val="Intense Emphasis"/>
    <w:basedOn w:val="Carpredefinitoparagrafo"/>
    <w:uiPriority w:val="21"/>
    <w:qFormat/>
    <w:rsid w:val="009B20DC"/>
    <w:rPr>
      <w:i/>
      <w:iCs/>
      <w:color w:val="0F4761" w:themeColor="accent1" w:themeShade="BF"/>
    </w:rPr>
  </w:style>
  <w:style w:type="paragraph" w:styleId="Citazioneintensa">
    <w:name w:val="Intense Quote"/>
    <w:basedOn w:val="Normale"/>
    <w:next w:val="Normale"/>
    <w:link w:val="CitazioneintensaCarattere"/>
    <w:uiPriority w:val="30"/>
    <w:qFormat/>
    <w:rsid w:val="009B2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9B20DC"/>
    <w:rPr>
      <w:i/>
      <w:iCs/>
      <w:color w:val="0F4761" w:themeColor="accent1" w:themeShade="BF"/>
    </w:rPr>
  </w:style>
  <w:style w:type="character" w:styleId="Riferimentointenso">
    <w:name w:val="Intense Reference"/>
    <w:basedOn w:val="Carpredefinitoparagrafo"/>
    <w:uiPriority w:val="32"/>
    <w:qFormat/>
    <w:rsid w:val="009B20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491</Words>
  <Characters>2805</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Esposito</dc:creator>
  <cp:keywords/>
  <dc:description/>
  <cp:lastModifiedBy>Giovanni Esposito</cp:lastModifiedBy>
  <cp:revision>3</cp:revision>
  <dcterms:created xsi:type="dcterms:W3CDTF">2026-03-06T08:51:00Z</dcterms:created>
  <dcterms:modified xsi:type="dcterms:W3CDTF">2026-03-06T09:30:00Z</dcterms:modified>
</cp:coreProperties>
</file>