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0C204B" w14:textId="77777777" w:rsidR="004A5B21" w:rsidRDefault="004A5B21" w:rsidP="004A5B21">
      <w:pPr>
        <w:spacing w:after="0" w:line="240" w:lineRule="auto"/>
        <w:jc w:val="center"/>
        <w:rPr>
          <w:rFonts w:eastAsia="Times New Roman" w:cs="Calibri"/>
          <w:b/>
          <w:bCs/>
          <w:kern w:val="0"/>
          <w:sz w:val="24"/>
          <w:szCs w:val="24"/>
          <w:lang w:eastAsia="it-IT"/>
          <w14:ligatures w14:val="none"/>
        </w:rPr>
      </w:pPr>
    </w:p>
    <w:p w14:paraId="5955E6F3" w14:textId="77777777" w:rsidR="00B22A96" w:rsidRDefault="00B22A96" w:rsidP="004A5B21">
      <w:pPr>
        <w:spacing w:after="0" w:line="240" w:lineRule="auto"/>
        <w:jc w:val="center"/>
        <w:rPr>
          <w:rFonts w:eastAsia="Times New Roman" w:cs="Calibri"/>
          <w:b/>
          <w:bCs/>
          <w:kern w:val="0"/>
          <w:sz w:val="24"/>
          <w:szCs w:val="24"/>
          <w:lang w:eastAsia="it-IT"/>
          <w14:ligatures w14:val="none"/>
        </w:rPr>
      </w:pPr>
    </w:p>
    <w:p w14:paraId="74FB3E51" w14:textId="77777777" w:rsidR="00B22A96" w:rsidRDefault="00B22A96" w:rsidP="004A5B21">
      <w:pPr>
        <w:spacing w:after="0" w:line="240" w:lineRule="auto"/>
        <w:jc w:val="center"/>
        <w:rPr>
          <w:rFonts w:eastAsia="Times New Roman" w:cs="Calibri"/>
          <w:b/>
          <w:bCs/>
          <w:kern w:val="0"/>
          <w:sz w:val="24"/>
          <w:szCs w:val="24"/>
          <w:lang w:eastAsia="it-IT"/>
          <w14:ligatures w14:val="none"/>
        </w:rPr>
      </w:pPr>
    </w:p>
    <w:p w14:paraId="21C7B9C4" w14:textId="77777777" w:rsidR="0007377A" w:rsidRDefault="0007377A" w:rsidP="004A5B21">
      <w:pPr>
        <w:spacing w:after="0" w:line="240" w:lineRule="auto"/>
        <w:jc w:val="center"/>
        <w:rPr>
          <w:rFonts w:eastAsia="Times New Roman" w:cs="Calibri"/>
          <w:b/>
          <w:bCs/>
          <w:kern w:val="0"/>
          <w:sz w:val="24"/>
          <w:szCs w:val="24"/>
          <w:lang w:eastAsia="it-IT"/>
          <w14:ligatures w14:val="none"/>
        </w:rPr>
      </w:pPr>
    </w:p>
    <w:p w14:paraId="3913494A" w14:textId="77777777" w:rsidR="0007377A" w:rsidRDefault="0007377A" w:rsidP="004A5B21">
      <w:pPr>
        <w:spacing w:after="0" w:line="240" w:lineRule="auto"/>
        <w:jc w:val="center"/>
        <w:rPr>
          <w:rFonts w:eastAsia="Times New Roman" w:cs="Calibri"/>
          <w:b/>
          <w:bCs/>
          <w:kern w:val="0"/>
          <w:sz w:val="24"/>
          <w:szCs w:val="24"/>
          <w:lang w:eastAsia="it-IT"/>
          <w14:ligatures w14:val="none"/>
        </w:rPr>
      </w:pPr>
    </w:p>
    <w:p w14:paraId="01B28C58" w14:textId="77777777" w:rsidR="0007377A" w:rsidRPr="004A5B21" w:rsidRDefault="0007377A" w:rsidP="004A5B21">
      <w:pPr>
        <w:spacing w:after="0" w:line="240" w:lineRule="auto"/>
        <w:jc w:val="center"/>
        <w:rPr>
          <w:rFonts w:eastAsia="Times New Roman" w:cs="Calibri"/>
          <w:b/>
          <w:bCs/>
          <w:kern w:val="0"/>
          <w:sz w:val="24"/>
          <w:szCs w:val="24"/>
          <w:lang w:eastAsia="it-IT"/>
          <w14:ligatures w14:val="none"/>
        </w:rPr>
      </w:pPr>
    </w:p>
    <w:p w14:paraId="5772C1E3" w14:textId="77777777" w:rsidR="00367228" w:rsidRPr="00367228" w:rsidRDefault="00367228" w:rsidP="00367228">
      <w:pPr>
        <w:rPr>
          <w:rFonts w:eastAsia="Calibri" w:cs="Times New Roman"/>
          <w:sz w:val="28"/>
          <w:szCs w:val="28"/>
        </w:rPr>
      </w:pPr>
      <w:r w:rsidRPr="00367228">
        <w:rPr>
          <w:rFonts w:eastAsia="Calibri" w:cs="Times New Roman"/>
          <w:sz w:val="28"/>
          <w:szCs w:val="28"/>
        </w:rPr>
        <w:t>INTERVENTO PRESIDENTE ANTIAL FLA</w:t>
      </w:r>
    </w:p>
    <w:p w14:paraId="6885069E" w14:textId="77777777" w:rsidR="00367228" w:rsidRPr="00367228" w:rsidRDefault="00367228" w:rsidP="00367228">
      <w:pPr>
        <w:rPr>
          <w:rFonts w:eastAsia="Calibri" w:cs="Times New Roman"/>
          <w:sz w:val="28"/>
          <w:szCs w:val="28"/>
        </w:rPr>
      </w:pPr>
      <w:r w:rsidRPr="00367228">
        <w:rPr>
          <w:rFonts w:eastAsia="Calibri" w:cs="Times New Roman"/>
          <w:sz w:val="28"/>
          <w:szCs w:val="28"/>
        </w:rPr>
        <w:t>Dalla ricerca al territorio: soluzioni resilienti e low-carbon per l’edilizia sociale e residenziale.</w:t>
      </w:r>
      <w:r w:rsidRPr="00367228">
        <w:rPr>
          <w:rFonts w:eastAsia="Calibri" w:cs="Times New Roman"/>
          <w:sz w:val="28"/>
          <w:szCs w:val="28"/>
        </w:rPr>
        <w:br/>
        <w:t>L’efficacia di esoscheletri a basso danneggiamento</w:t>
      </w:r>
      <w:r w:rsidRPr="00367228">
        <w:rPr>
          <w:rFonts w:eastAsia="Calibri" w:cs="Times New Roman"/>
        </w:rPr>
        <w:t xml:space="preserve">.  </w:t>
      </w:r>
      <w:r w:rsidRPr="00367228">
        <w:rPr>
          <w:rFonts w:eastAsia="Calibri" w:cs="Times New Roman"/>
          <w:sz w:val="28"/>
          <w:szCs w:val="28"/>
        </w:rPr>
        <w:t>25 marzo 2026</w:t>
      </w:r>
    </w:p>
    <w:p w14:paraId="5F015E5D" w14:textId="71934760" w:rsidR="00383330" w:rsidRPr="00383330" w:rsidRDefault="00383330" w:rsidP="004A5B21">
      <w:pPr>
        <w:spacing w:after="0" w:line="240" w:lineRule="auto"/>
        <w:jc w:val="both"/>
        <w:rPr>
          <w:rFonts w:eastAsia="Times New Roman" w:cs="Calibri"/>
          <w:kern w:val="0"/>
          <w:sz w:val="24"/>
          <w:szCs w:val="24"/>
          <w:lang w:eastAsia="it-IT"/>
          <w14:ligatures w14:val="none"/>
        </w:rPr>
      </w:pPr>
      <w:r w:rsidRPr="00383330">
        <w:rPr>
          <w:rFonts w:eastAsia="Times New Roman" w:cs="Calibri"/>
          <w:b/>
          <w:bCs/>
          <w:kern w:val="0"/>
          <w:sz w:val="24"/>
          <w:szCs w:val="24"/>
          <w:lang w:eastAsia="it-IT"/>
          <w14:ligatures w14:val="none"/>
        </w:rPr>
        <w:t xml:space="preserve">1. Costo dei danni da terremoti e dissesti </w:t>
      </w:r>
    </w:p>
    <w:p w14:paraId="2B878F48" w14:textId="26BA9A84" w:rsidR="00383330" w:rsidRDefault="00383330" w:rsidP="004A5B21">
      <w:pPr>
        <w:spacing w:after="0" w:line="240" w:lineRule="auto"/>
        <w:jc w:val="both"/>
        <w:rPr>
          <w:rFonts w:eastAsia="Times New Roman" w:cs="Calibri"/>
          <w:kern w:val="0"/>
          <w:sz w:val="24"/>
          <w:szCs w:val="24"/>
          <w:lang w:eastAsia="it-IT"/>
          <w14:ligatures w14:val="none"/>
        </w:rPr>
      </w:pPr>
      <w:r w:rsidRPr="00383330">
        <w:rPr>
          <w:rFonts w:eastAsia="Times New Roman" w:cs="Calibri"/>
          <w:kern w:val="0"/>
          <w:sz w:val="24"/>
          <w:szCs w:val="24"/>
          <w:lang w:eastAsia="it-IT"/>
          <w14:ligatures w14:val="none"/>
        </w:rPr>
        <w:t>Il dato originale (181 miliardi dal 1944 al 2016) è oggi ampiamente superato. Il 2° Rapporto ANCE-CRESME</w:t>
      </w:r>
      <w:r w:rsidRPr="004A5B21">
        <w:rPr>
          <w:rFonts w:eastAsia="Times New Roman" w:cs="Calibri"/>
          <w:kern w:val="0"/>
          <w:sz w:val="24"/>
          <w:szCs w:val="24"/>
          <w:lang w:eastAsia="it-IT"/>
          <w14:ligatures w14:val="none"/>
        </w:rPr>
        <w:t xml:space="preserve"> 2023</w:t>
      </w:r>
      <w:r w:rsidRPr="00383330">
        <w:rPr>
          <w:rFonts w:eastAsia="Times New Roman" w:cs="Calibri"/>
          <w:kern w:val="0"/>
          <w:sz w:val="24"/>
          <w:szCs w:val="24"/>
          <w:lang w:eastAsia="it-IT"/>
          <w14:ligatures w14:val="none"/>
        </w:rPr>
        <w:t xml:space="preserve"> sullo stato di rischio del territorio italiano, presentato il 29 novembre 2023, ha stimato che i costi del mancato controllo del territorio dal 1944 a oggi valgono </w:t>
      </w:r>
      <w:r w:rsidRPr="00383330">
        <w:rPr>
          <w:rFonts w:eastAsia="Times New Roman" w:cs="Calibri"/>
          <w:b/>
          <w:bCs/>
          <w:kern w:val="0"/>
          <w:sz w:val="24"/>
          <w:szCs w:val="24"/>
          <w:lang w:eastAsia="it-IT"/>
          <w14:ligatures w14:val="none"/>
        </w:rPr>
        <w:t>358 miliardi di euro</w:t>
      </w:r>
      <w:r w:rsidRPr="00383330">
        <w:rPr>
          <w:rFonts w:eastAsia="Times New Roman" w:cs="Calibri"/>
          <w:kern w:val="0"/>
          <w:sz w:val="24"/>
          <w:szCs w:val="24"/>
          <w:lang w:eastAsia="it-IT"/>
          <w14:ligatures w14:val="none"/>
        </w:rPr>
        <w:t>, con una media in 80 anni di 4,5 miliardi l'anno, che negli ultimi 13 anni si gonfia a 6 miliardi l'anno.</w:t>
      </w:r>
      <w:r w:rsidRPr="004A5B21">
        <w:rPr>
          <w:rFonts w:eastAsia="Times New Roman" w:cs="Calibri"/>
          <w:kern w:val="0"/>
          <w:sz w:val="24"/>
          <w:szCs w:val="24"/>
          <w:lang w:eastAsia="it-IT"/>
          <w14:ligatures w14:val="none"/>
        </w:rPr>
        <w:t xml:space="preserve"> Q</w:t>
      </w:r>
      <w:r w:rsidRPr="00383330">
        <w:rPr>
          <w:rFonts w:eastAsia="Times New Roman" w:cs="Calibri"/>
          <w:kern w:val="0"/>
          <w:sz w:val="24"/>
          <w:szCs w:val="24"/>
          <w:lang w:eastAsia="it-IT"/>
          <w14:ligatures w14:val="none"/>
        </w:rPr>
        <w:t xml:space="preserve">uesto dato combina terremoti e dissesto idrogeologico. Alla componente </w:t>
      </w:r>
      <w:r w:rsidRPr="00367228">
        <w:rPr>
          <w:rFonts w:eastAsia="Times New Roman" w:cs="Calibri"/>
          <w:b/>
          <w:bCs/>
          <w:kern w:val="0"/>
          <w:sz w:val="24"/>
          <w:szCs w:val="24"/>
          <w:lang w:eastAsia="it-IT"/>
          <w14:ligatures w14:val="none"/>
        </w:rPr>
        <w:t>sismica</w:t>
      </w:r>
      <w:r w:rsidRPr="00383330">
        <w:rPr>
          <w:rFonts w:eastAsia="Times New Roman" w:cs="Calibri"/>
          <w:kern w:val="0"/>
          <w:sz w:val="24"/>
          <w:szCs w:val="24"/>
          <w:lang w:eastAsia="it-IT"/>
          <w14:ligatures w14:val="none"/>
        </w:rPr>
        <w:t xml:space="preserve"> sono attribuiti circa </w:t>
      </w:r>
      <w:r w:rsidRPr="00383330">
        <w:rPr>
          <w:rFonts w:eastAsia="Times New Roman" w:cs="Calibri"/>
          <w:b/>
          <w:bCs/>
          <w:kern w:val="0"/>
          <w:sz w:val="24"/>
          <w:szCs w:val="24"/>
          <w:lang w:eastAsia="it-IT"/>
          <w14:ligatures w14:val="none"/>
        </w:rPr>
        <w:t>3 miliardi di euro l'anno</w:t>
      </w:r>
      <w:r w:rsidRPr="00383330">
        <w:rPr>
          <w:rFonts w:eastAsia="Times New Roman" w:cs="Calibri"/>
          <w:kern w:val="0"/>
          <w:sz w:val="24"/>
          <w:szCs w:val="24"/>
          <w:lang w:eastAsia="it-IT"/>
          <w14:ligatures w14:val="none"/>
        </w:rPr>
        <w:t>, mentre la spesa per i danni da alluvioni e dissesto è triplicata dal 2010 raggiungendo 3,3 miliardi l'anno.</w:t>
      </w:r>
    </w:p>
    <w:p w14:paraId="3AB36B0F" w14:textId="77777777" w:rsidR="004A5B21" w:rsidRPr="00383330" w:rsidRDefault="004A5B21" w:rsidP="004A5B21">
      <w:pPr>
        <w:spacing w:after="0" w:line="240" w:lineRule="auto"/>
        <w:jc w:val="both"/>
        <w:rPr>
          <w:rFonts w:eastAsia="Times New Roman" w:cs="Calibri"/>
          <w:kern w:val="0"/>
          <w:sz w:val="24"/>
          <w:szCs w:val="24"/>
          <w:lang w:eastAsia="it-IT"/>
          <w14:ligatures w14:val="none"/>
        </w:rPr>
      </w:pPr>
    </w:p>
    <w:p w14:paraId="0A907462" w14:textId="77777777" w:rsidR="00383330" w:rsidRPr="00383330" w:rsidRDefault="00383330" w:rsidP="004A5B21">
      <w:pPr>
        <w:spacing w:after="0" w:line="240" w:lineRule="auto"/>
        <w:jc w:val="both"/>
        <w:rPr>
          <w:rFonts w:eastAsia="Times New Roman" w:cs="Calibri"/>
          <w:kern w:val="0"/>
          <w:sz w:val="24"/>
          <w:szCs w:val="24"/>
          <w:lang w:eastAsia="it-IT"/>
          <w14:ligatures w14:val="none"/>
        </w:rPr>
      </w:pPr>
      <w:r w:rsidRPr="00383330">
        <w:rPr>
          <w:rFonts w:eastAsia="Times New Roman" w:cs="Calibri"/>
          <w:b/>
          <w:bCs/>
          <w:kern w:val="0"/>
          <w:sz w:val="24"/>
          <w:szCs w:val="24"/>
          <w:lang w:eastAsia="it-IT"/>
          <w14:ligatures w14:val="none"/>
        </w:rPr>
        <w:t>2. Vulnerabilità del patrimonio edilizio</w:t>
      </w:r>
    </w:p>
    <w:p w14:paraId="62CD820E" w14:textId="564A9400" w:rsidR="00383330" w:rsidRDefault="00367228" w:rsidP="004A5B21">
      <w:pPr>
        <w:spacing w:after="0" w:line="240" w:lineRule="auto"/>
        <w:jc w:val="both"/>
        <w:rPr>
          <w:rFonts w:eastAsia="Times New Roman" w:cs="Calibri"/>
          <w:kern w:val="0"/>
          <w:sz w:val="24"/>
          <w:szCs w:val="24"/>
          <w:lang w:eastAsia="it-IT"/>
          <w14:ligatures w14:val="none"/>
        </w:rPr>
      </w:pPr>
      <w:r w:rsidRPr="00367228">
        <w:rPr>
          <w:rFonts w:eastAsia="Calibri" w:cs="Times New Roman"/>
          <w:b/>
          <w:bCs/>
          <w:sz w:val="24"/>
          <w:szCs w:val="24"/>
        </w:rPr>
        <w:t>Il patrimonio immobiliare nazionale consiste in 13,7 milioni di edifici esistenti di cui 12,2 milioni sono adibiti ad uso residenziale</w:t>
      </w:r>
      <w:r w:rsidR="00383330" w:rsidRPr="00367228">
        <w:rPr>
          <w:rFonts w:eastAsia="Times New Roman" w:cs="Calibri"/>
          <w:kern w:val="0"/>
          <w:sz w:val="24"/>
          <w:szCs w:val="24"/>
          <w:lang w:eastAsia="it-IT"/>
          <w14:ligatures w14:val="none"/>
        </w:rPr>
        <w:t xml:space="preserve"> La causa principale del rischio sismico consiste nella qualità del patrimonio edilizio, per lo più non adeguato a rispondere a terremoti anche di media entità: oltre il </w:t>
      </w:r>
      <w:r w:rsidR="00383330" w:rsidRPr="00367228">
        <w:rPr>
          <w:rFonts w:eastAsia="Times New Roman" w:cs="Calibri"/>
          <w:b/>
          <w:bCs/>
          <w:kern w:val="0"/>
          <w:sz w:val="24"/>
          <w:szCs w:val="24"/>
          <w:lang w:eastAsia="it-IT"/>
          <w14:ligatures w14:val="none"/>
        </w:rPr>
        <w:t>74% degli edifici ha più di quarant'anni</w:t>
      </w:r>
      <w:r w:rsidR="00383330" w:rsidRPr="00367228">
        <w:rPr>
          <w:rFonts w:eastAsia="Times New Roman" w:cs="Calibri"/>
          <w:kern w:val="0"/>
          <w:sz w:val="24"/>
          <w:szCs w:val="24"/>
          <w:lang w:eastAsia="it-IT"/>
          <w14:ligatures w14:val="none"/>
        </w:rPr>
        <w:t xml:space="preserve"> (nelle grandi città l'85% delle abitazioni, negli altri capoluoghi l'80%), un periodo contraddistinto da diffusa assenza di norme tecniche antisismiche</w:t>
      </w:r>
      <w:r w:rsidR="00383330" w:rsidRPr="00383330">
        <w:rPr>
          <w:rFonts w:eastAsia="Times New Roman" w:cs="Calibri"/>
          <w:kern w:val="0"/>
          <w:sz w:val="24"/>
          <w:szCs w:val="24"/>
          <w:lang w:eastAsia="it-IT"/>
          <w14:ligatures w14:val="none"/>
        </w:rPr>
        <w:t>.</w:t>
      </w:r>
    </w:p>
    <w:p w14:paraId="0EBAC579" w14:textId="77777777" w:rsidR="004A5B21" w:rsidRPr="00383330" w:rsidRDefault="004A5B21" w:rsidP="004A5B21">
      <w:pPr>
        <w:spacing w:after="0" w:line="240" w:lineRule="auto"/>
        <w:jc w:val="both"/>
        <w:rPr>
          <w:rFonts w:eastAsia="Times New Roman" w:cs="Calibri"/>
          <w:kern w:val="0"/>
          <w:sz w:val="24"/>
          <w:szCs w:val="24"/>
          <w:lang w:eastAsia="it-IT"/>
          <w14:ligatures w14:val="none"/>
        </w:rPr>
      </w:pPr>
    </w:p>
    <w:p w14:paraId="756BA8E6" w14:textId="77777777" w:rsidR="00383330" w:rsidRPr="00383330" w:rsidRDefault="00383330" w:rsidP="004A5B21">
      <w:pPr>
        <w:spacing w:after="0" w:line="240" w:lineRule="auto"/>
        <w:jc w:val="both"/>
        <w:rPr>
          <w:rFonts w:eastAsia="Times New Roman" w:cs="Calibri"/>
          <w:kern w:val="0"/>
          <w:sz w:val="24"/>
          <w:szCs w:val="24"/>
          <w:lang w:eastAsia="it-IT"/>
          <w14:ligatures w14:val="none"/>
        </w:rPr>
      </w:pPr>
      <w:r w:rsidRPr="00383330">
        <w:rPr>
          <w:rFonts w:eastAsia="Times New Roman" w:cs="Calibri"/>
          <w:b/>
          <w:bCs/>
          <w:kern w:val="0"/>
          <w:sz w:val="24"/>
          <w:szCs w:val="24"/>
          <w:lang w:eastAsia="it-IT"/>
          <w14:ligatures w14:val="none"/>
        </w:rPr>
        <w:t>3. Distribuzione della sismicità comunale</w:t>
      </w:r>
    </w:p>
    <w:p w14:paraId="44EDDF3D" w14:textId="77777777" w:rsidR="00367228" w:rsidRDefault="00383330" w:rsidP="004A5B21">
      <w:pPr>
        <w:spacing w:after="0" w:line="240" w:lineRule="auto"/>
        <w:jc w:val="both"/>
        <w:rPr>
          <w:rFonts w:eastAsia="Times New Roman" w:cs="Calibri"/>
          <w:kern w:val="0"/>
          <w:sz w:val="24"/>
          <w:szCs w:val="24"/>
          <w:lang w:eastAsia="it-IT"/>
          <w14:ligatures w14:val="none"/>
        </w:rPr>
      </w:pPr>
      <w:r w:rsidRPr="00367228">
        <w:rPr>
          <w:rFonts w:eastAsia="Times New Roman" w:cs="Calibri"/>
          <w:b/>
          <w:bCs/>
          <w:kern w:val="0"/>
          <w:sz w:val="24"/>
          <w:szCs w:val="24"/>
          <w:lang w:eastAsia="it-IT"/>
          <w14:ligatures w14:val="none"/>
        </w:rPr>
        <w:t xml:space="preserve">Tra il 2000 e il 2023 in Italia sono avvenuti 4.507 terremoti con magnitudo uguale o superiore a 3.0, </w:t>
      </w:r>
      <w:r w:rsidRPr="00383330">
        <w:rPr>
          <w:rFonts w:eastAsia="Times New Roman" w:cs="Calibri"/>
          <w:kern w:val="0"/>
          <w:sz w:val="24"/>
          <w:szCs w:val="24"/>
          <w:lang w:eastAsia="it-IT"/>
          <w14:ligatures w14:val="none"/>
        </w:rPr>
        <w:t>di cui 21 con magnitudo pari o superiore a 5.0. La maggior parte del territorio italiano si divide tra sismicità 2 (medio-alta) e sismicità 3 (medio-bassa):</w:t>
      </w:r>
    </w:p>
    <w:p w14:paraId="3E3B8168" w14:textId="749A0FFB" w:rsidR="00383330" w:rsidRDefault="00383330" w:rsidP="004A5B21">
      <w:pPr>
        <w:spacing w:after="0" w:line="240" w:lineRule="auto"/>
        <w:jc w:val="both"/>
        <w:rPr>
          <w:rFonts w:eastAsia="Times New Roman" w:cs="Calibri"/>
          <w:kern w:val="0"/>
          <w:sz w:val="24"/>
          <w:szCs w:val="24"/>
          <w:lang w:eastAsia="it-IT"/>
          <w14:ligatures w14:val="none"/>
        </w:rPr>
      </w:pPr>
      <w:r w:rsidRPr="00383330">
        <w:rPr>
          <w:rFonts w:eastAsia="Times New Roman" w:cs="Calibri"/>
          <w:kern w:val="0"/>
          <w:sz w:val="24"/>
          <w:szCs w:val="24"/>
          <w:lang w:eastAsia="it-IT"/>
          <w14:ligatures w14:val="none"/>
        </w:rPr>
        <w:t>2.375 comuni sono in zona 2, circa tremila in zona 3. In zona 1, la più rischiosa, si trovano 739 comuni, soprattutto in corrispondenza dell'Appennino, con oltre 3,2 milioni di abitanti.</w:t>
      </w:r>
    </w:p>
    <w:p w14:paraId="7B7F1027" w14:textId="77777777" w:rsidR="00367228" w:rsidRDefault="00367228" w:rsidP="004A5B21">
      <w:pPr>
        <w:spacing w:after="0" w:line="240" w:lineRule="auto"/>
        <w:jc w:val="both"/>
        <w:rPr>
          <w:rFonts w:eastAsia="Times New Roman" w:cs="Calibri"/>
          <w:kern w:val="0"/>
          <w:sz w:val="24"/>
          <w:szCs w:val="24"/>
          <w:lang w:eastAsia="it-IT"/>
          <w14:ligatures w14:val="none"/>
        </w:rPr>
      </w:pPr>
    </w:p>
    <w:p w14:paraId="786BFD56" w14:textId="2D6CE6C7" w:rsidR="004A5B21" w:rsidRDefault="00367228" w:rsidP="004A5B21">
      <w:pPr>
        <w:spacing w:after="0" w:line="240" w:lineRule="auto"/>
        <w:jc w:val="both"/>
        <w:rPr>
          <w:rFonts w:eastAsia="Times New Roman" w:cs="Calibri"/>
          <w:b/>
          <w:bCs/>
          <w:kern w:val="0"/>
          <w:sz w:val="24"/>
          <w:szCs w:val="24"/>
          <w:lang w:eastAsia="it-IT"/>
          <w14:ligatures w14:val="none"/>
        </w:rPr>
      </w:pPr>
      <w:r w:rsidRPr="00367228">
        <w:rPr>
          <w:rFonts w:eastAsia="Times New Roman" w:cs="Calibri"/>
          <w:b/>
          <w:bCs/>
          <w:kern w:val="0"/>
          <w:sz w:val="24"/>
          <w:szCs w:val="24"/>
          <w:lang w:eastAsia="it-IT"/>
          <w14:ligatures w14:val="none"/>
        </w:rPr>
        <w:t>4. Edilizia</w:t>
      </w:r>
      <w:r>
        <w:rPr>
          <w:rFonts w:eastAsia="Times New Roman" w:cs="Calibri"/>
          <w:kern w:val="0"/>
          <w:sz w:val="24"/>
          <w:szCs w:val="24"/>
          <w:lang w:eastAsia="it-IT"/>
          <w14:ligatures w14:val="none"/>
        </w:rPr>
        <w:t xml:space="preserve"> </w:t>
      </w:r>
      <w:r w:rsidRPr="00367228">
        <w:rPr>
          <w:rFonts w:eastAsia="Times New Roman" w:cs="Calibri"/>
          <w:b/>
          <w:bCs/>
          <w:kern w:val="0"/>
          <w:sz w:val="24"/>
          <w:szCs w:val="24"/>
          <w:lang w:eastAsia="it-IT"/>
          <w14:ligatures w14:val="none"/>
        </w:rPr>
        <w:t>sociale</w:t>
      </w:r>
    </w:p>
    <w:p w14:paraId="1B05AD42" w14:textId="4AAAB98C" w:rsidR="00367228" w:rsidRDefault="00367228" w:rsidP="004A5B21">
      <w:pPr>
        <w:spacing w:after="0" w:line="240" w:lineRule="auto"/>
        <w:jc w:val="both"/>
        <w:rPr>
          <w:rFonts w:eastAsia="Calibri" w:cs="Times New Roman"/>
          <w:b/>
          <w:bCs/>
        </w:rPr>
      </w:pPr>
      <w:r>
        <w:rPr>
          <w:rFonts w:eastAsia="Calibri" w:cs="Times New Roman"/>
          <w:b/>
          <w:bCs/>
        </w:rPr>
        <w:t xml:space="preserve">In Italia vi sono </w:t>
      </w:r>
      <w:r w:rsidRPr="00367228">
        <w:rPr>
          <w:rFonts w:eastAsia="Calibri" w:cs="Times New Roman"/>
          <w:b/>
          <w:bCs/>
        </w:rPr>
        <w:t>960.000 alloggi sono di carattere sociale ed ospitano il 3,5 % della popolazione</w:t>
      </w:r>
      <w:r>
        <w:rPr>
          <w:rFonts w:eastAsia="Calibri" w:cs="Times New Roman"/>
          <w:b/>
          <w:bCs/>
        </w:rPr>
        <w:t>. Nel confronto con i partner europei abbiamo che in Francia il 17% della popolazione risiede in abitazioni sociali, il 24% in Austria e Svizzera ed il 29% in Olanda.</w:t>
      </w:r>
    </w:p>
    <w:p w14:paraId="2FB4B0BE" w14:textId="7DF51FF8" w:rsidR="00367228" w:rsidRDefault="00367228" w:rsidP="004A5B21">
      <w:pPr>
        <w:spacing w:after="0" w:line="240" w:lineRule="auto"/>
        <w:jc w:val="both"/>
        <w:rPr>
          <w:rFonts w:eastAsia="Calibri" w:cs="Times New Roman"/>
          <w:b/>
          <w:bCs/>
        </w:rPr>
      </w:pPr>
      <w:r>
        <w:rPr>
          <w:rFonts w:eastAsia="Calibri" w:cs="Times New Roman"/>
          <w:b/>
          <w:bCs/>
        </w:rPr>
        <w:t>In Italia 650.000 famiglie aspettano un alloggio pubblico.</w:t>
      </w:r>
    </w:p>
    <w:p w14:paraId="3451F387" w14:textId="77777777" w:rsidR="003C6ACF" w:rsidRDefault="003C6ACF" w:rsidP="004A5B21">
      <w:pPr>
        <w:spacing w:after="0" w:line="240" w:lineRule="auto"/>
        <w:jc w:val="both"/>
        <w:rPr>
          <w:rFonts w:eastAsia="Calibri" w:cs="Times New Roman"/>
          <w:b/>
          <w:bCs/>
        </w:rPr>
      </w:pPr>
    </w:p>
    <w:p w14:paraId="34F297FA" w14:textId="77777777" w:rsidR="000D6ABD" w:rsidRDefault="000D6ABD" w:rsidP="004A5B21">
      <w:pPr>
        <w:spacing w:after="0" w:line="240" w:lineRule="auto"/>
        <w:jc w:val="both"/>
        <w:rPr>
          <w:rFonts w:eastAsia="Calibri" w:cs="Times New Roman"/>
          <w:b/>
          <w:bCs/>
        </w:rPr>
      </w:pPr>
    </w:p>
    <w:p w14:paraId="0C99563E" w14:textId="77777777" w:rsidR="00367228" w:rsidRPr="00383330" w:rsidRDefault="00367228" w:rsidP="004A5B21">
      <w:pPr>
        <w:spacing w:after="0" w:line="240" w:lineRule="auto"/>
        <w:jc w:val="both"/>
        <w:rPr>
          <w:rFonts w:eastAsia="Times New Roman" w:cs="Calibri"/>
          <w:kern w:val="0"/>
          <w:sz w:val="24"/>
          <w:szCs w:val="24"/>
          <w:lang w:eastAsia="it-IT"/>
          <w14:ligatures w14:val="none"/>
        </w:rPr>
      </w:pPr>
    </w:p>
    <w:p w14:paraId="3766BBBE" w14:textId="37766930" w:rsidR="00383330" w:rsidRDefault="00A148C4" w:rsidP="004A5B21">
      <w:pPr>
        <w:spacing w:after="0" w:line="240" w:lineRule="auto"/>
        <w:jc w:val="both"/>
        <w:outlineLvl w:val="1"/>
        <w:rPr>
          <w:rFonts w:eastAsia="Times New Roman" w:cs="Calibri"/>
          <w:b/>
          <w:bCs/>
          <w:kern w:val="0"/>
          <w:sz w:val="24"/>
          <w:szCs w:val="24"/>
          <w:lang w:eastAsia="it-IT"/>
          <w14:ligatures w14:val="none"/>
        </w:rPr>
      </w:pPr>
      <w:r>
        <w:rPr>
          <w:rFonts w:eastAsia="Times New Roman" w:cs="Calibri"/>
          <w:b/>
          <w:bCs/>
          <w:kern w:val="0"/>
          <w:sz w:val="24"/>
          <w:szCs w:val="24"/>
          <w:lang w:eastAsia="it-IT"/>
          <w14:ligatures w14:val="none"/>
        </w:rPr>
        <w:t>5.</w:t>
      </w:r>
      <w:r w:rsidR="00383330" w:rsidRPr="00383330">
        <w:rPr>
          <w:rFonts w:eastAsia="Times New Roman" w:cs="Calibri"/>
          <w:b/>
          <w:bCs/>
          <w:kern w:val="0"/>
          <w:sz w:val="24"/>
          <w:szCs w:val="24"/>
          <w:lang w:eastAsia="it-IT"/>
          <w14:ligatures w14:val="none"/>
        </w:rPr>
        <w:t>Dati su riqualificazione con bonus fiscali (Sismabonus e Superbonus)</w:t>
      </w:r>
    </w:p>
    <w:p w14:paraId="5DB5F1DE" w14:textId="77777777" w:rsidR="00032718" w:rsidRPr="00383330" w:rsidRDefault="00032718" w:rsidP="004A5B21">
      <w:pPr>
        <w:spacing w:after="0" w:line="240" w:lineRule="auto"/>
        <w:jc w:val="both"/>
        <w:outlineLvl w:val="1"/>
        <w:rPr>
          <w:rFonts w:eastAsia="Times New Roman" w:cs="Calibri"/>
          <w:b/>
          <w:bCs/>
          <w:kern w:val="0"/>
          <w:sz w:val="24"/>
          <w:szCs w:val="24"/>
          <w:lang w:eastAsia="it-IT"/>
          <w14:ligatures w14:val="none"/>
        </w:rPr>
      </w:pPr>
    </w:p>
    <w:p w14:paraId="7995BBA0" w14:textId="54AE3166" w:rsidR="00383330" w:rsidRPr="00383330" w:rsidRDefault="00383330" w:rsidP="004A5B21">
      <w:pPr>
        <w:spacing w:after="0" w:line="240" w:lineRule="auto"/>
        <w:jc w:val="both"/>
        <w:rPr>
          <w:rFonts w:eastAsia="Times New Roman" w:cs="Calibri"/>
          <w:kern w:val="0"/>
          <w:sz w:val="24"/>
          <w:szCs w:val="24"/>
          <w:lang w:eastAsia="it-IT"/>
          <w14:ligatures w14:val="none"/>
        </w:rPr>
      </w:pPr>
      <w:r w:rsidRPr="00383330">
        <w:rPr>
          <w:rFonts w:eastAsia="Times New Roman" w:cs="Calibri"/>
          <w:kern w:val="0"/>
          <w:sz w:val="24"/>
          <w:szCs w:val="24"/>
          <w:lang w:eastAsia="it-IT"/>
          <w14:ligatures w14:val="none"/>
        </w:rPr>
        <w:t xml:space="preserve">Il </w:t>
      </w:r>
      <w:r w:rsidRPr="00383330">
        <w:rPr>
          <w:rFonts w:eastAsia="Times New Roman" w:cs="Calibri"/>
          <w:b/>
          <w:bCs/>
          <w:kern w:val="0"/>
          <w:sz w:val="24"/>
          <w:szCs w:val="24"/>
          <w:lang w:eastAsia="it-IT"/>
          <w14:ligatures w14:val="none"/>
        </w:rPr>
        <w:t>Sismabonus</w:t>
      </w:r>
      <w:r w:rsidRPr="00383330">
        <w:rPr>
          <w:rFonts w:eastAsia="Times New Roman" w:cs="Calibri"/>
          <w:kern w:val="0"/>
          <w:sz w:val="24"/>
          <w:szCs w:val="24"/>
          <w:lang w:eastAsia="it-IT"/>
          <w14:ligatures w14:val="none"/>
        </w:rPr>
        <w:t xml:space="preserve"> è operativo dal 1° gennaio 2017 con detrazioni dal 50% all'85% per interventi in zone sismiche 1, 2 e 3. Il Superbonus 110%, introdotto con il Decreto Rilancio 2020, includeva una componente antisisismica: le previsioni iniziali del PNRR stimavano la ristrutturazione di oltre </w:t>
      </w:r>
      <w:r w:rsidRPr="00383330">
        <w:rPr>
          <w:rFonts w:eastAsia="Times New Roman" w:cs="Calibri"/>
          <w:kern w:val="0"/>
          <w:sz w:val="24"/>
          <w:szCs w:val="24"/>
          <w:lang w:eastAsia="it-IT"/>
          <w14:ligatures w14:val="none"/>
        </w:rPr>
        <w:lastRenderedPageBreak/>
        <w:t>100.000 edifici, per una superficie totale riqualificata di oltre 36 milioni di mq, di cui 3,8 milioni a fini antisismici.</w:t>
      </w:r>
    </w:p>
    <w:p w14:paraId="407D9DD4" w14:textId="77777777" w:rsidR="00383330" w:rsidRPr="004A5B21" w:rsidRDefault="00383330" w:rsidP="004A5B21">
      <w:pPr>
        <w:spacing w:after="0" w:line="240" w:lineRule="auto"/>
        <w:jc w:val="both"/>
        <w:rPr>
          <w:rFonts w:eastAsia="Times New Roman" w:cs="Calibri"/>
          <w:kern w:val="0"/>
          <w:sz w:val="24"/>
          <w:szCs w:val="24"/>
          <w:lang w:eastAsia="it-IT"/>
          <w14:ligatures w14:val="none"/>
        </w:rPr>
      </w:pPr>
      <w:r w:rsidRPr="004A5B21">
        <w:rPr>
          <w:rFonts w:eastAsia="Times New Roman" w:cs="Calibri"/>
          <w:kern w:val="0"/>
          <w:sz w:val="24"/>
          <w:szCs w:val="24"/>
          <w:lang w:eastAsia="it-IT"/>
          <w14:ligatures w14:val="none"/>
        </w:rPr>
        <w:t>U</w:t>
      </w:r>
      <w:r w:rsidRPr="00FD0CD7">
        <w:rPr>
          <w:rFonts w:eastAsia="Times New Roman" w:cs="Calibri"/>
          <w:kern w:val="0"/>
          <w:sz w:val="24"/>
          <w:szCs w:val="24"/>
          <w:lang w:eastAsia="it-IT"/>
          <w14:ligatures w14:val="none"/>
        </w:rPr>
        <w:t>n sistema di monitoraggio ENEA specifico per il sismabonus non è mai entrato in piena operatività</w:t>
      </w:r>
    </w:p>
    <w:p w14:paraId="4B68EF4D" w14:textId="635F82CF" w:rsidR="00383330" w:rsidRPr="004A5B21" w:rsidRDefault="00367228" w:rsidP="004A5B21">
      <w:pPr>
        <w:spacing w:after="0" w:line="240" w:lineRule="auto"/>
        <w:jc w:val="both"/>
        <w:rPr>
          <w:rFonts w:eastAsia="Times New Roman" w:cs="Calibri"/>
          <w:kern w:val="0"/>
          <w:sz w:val="24"/>
          <w:szCs w:val="24"/>
          <w:lang w:eastAsia="it-IT"/>
          <w14:ligatures w14:val="none"/>
        </w:rPr>
      </w:pPr>
      <w:r>
        <w:rPr>
          <w:rFonts w:eastAsia="Times New Roman" w:cs="Calibri"/>
          <w:kern w:val="0"/>
          <w:sz w:val="24"/>
          <w:szCs w:val="24"/>
          <w:lang w:eastAsia="it-IT"/>
          <w14:ligatures w14:val="none"/>
        </w:rPr>
        <w:t xml:space="preserve">di </w:t>
      </w:r>
      <w:r w:rsidR="00383330" w:rsidRPr="00FD0CD7">
        <w:rPr>
          <w:rFonts w:eastAsia="Times New Roman" w:cs="Calibri"/>
          <w:kern w:val="0"/>
          <w:sz w:val="24"/>
          <w:szCs w:val="24"/>
          <w:lang w:eastAsia="it-IT"/>
          <w14:ligatures w14:val="none"/>
        </w:rPr>
        <w:t xml:space="preserve">conseguenza, i dati aggregati sugli edifici riqualificati con il solo sismabonus ordinario non sono disponibili in forma sistematica. L'unico dato quantitativo citato da ANCE è significativo: i risultati del sismabonus condomini in vigore dal 2017 </w:t>
      </w:r>
      <w:r>
        <w:rPr>
          <w:rFonts w:eastAsia="Times New Roman" w:cs="Calibri"/>
          <w:kern w:val="0"/>
          <w:sz w:val="24"/>
          <w:szCs w:val="24"/>
          <w:lang w:eastAsia="it-IT"/>
          <w14:ligatures w14:val="none"/>
        </w:rPr>
        <w:t xml:space="preserve">sono </w:t>
      </w:r>
      <w:r w:rsidR="00383330" w:rsidRPr="00FD0CD7">
        <w:rPr>
          <w:rFonts w:eastAsia="Times New Roman" w:cs="Calibri"/>
          <w:kern w:val="0"/>
          <w:sz w:val="24"/>
          <w:szCs w:val="24"/>
          <w:lang w:eastAsia="it-IT"/>
          <w14:ligatures w14:val="none"/>
        </w:rPr>
        <w:t xml:space="preserve">stati "molto al di sotto delle aspettative", con una media di soli </w:t>
      </w:r>
      <w:r w:rsidR="00383330" w:rsidRPr="00FD0CD7">
        <w:rPr>
          <w:rFonts w:eastAsia="Times New Roman" w:cs="Calibri"/>
          <w:b/>
          <w:bCs/>
          <w:kern w:val="0"/>
          <w:sz w:val="24"/>
          <w:szCs w:val="24"/>
          <w:lang w:eastAsia="it-IT"/>
          <w14:ligatures w14:val="none"/>
        </w:rPr>
        <w:t>2.800 edifici l'anno</w:t>
      </w:r>
      <w:r w:rsidR="00383330" w:rsidRPr="00FD0CD7">
        <w:rPr>
          <w:rFonts w:eastAsia="Times New Roman" w:cs="Calibri"/>
          <w:kern w:val="0"/>
          <w:sz w:val="24"/>
          <w:szCs w:val="24"/>
          <w:lang w:eastAsia="it-IT"/>
          <w14:ligatures w14:val="none"/>
        </w:rPr>
        <w:t xml:space="preserve"> riqualificati.</w:t>
      </w:r>
    </w:p>
    <w:p w14:paraId="004BD9BF" w14:textId="2C06F871" w:rsidR="00383330" w:rsidRDefault="00383330" w:rsidP="004A5B21">
      <w:pPr>
        <w:spacing w:after="0" w:line="240" w:lineRule="auto"/>
        <w:jc w:val="both"/>
        <w:rPr>
          <w:rFonts w:eastAsia="Times New Roman" w:cs="Calibri"/>
          <w:kern w:val="0"/>
          <w:sz w:val="24"/>
          <w:szCs w:val="24"/>
          <w:lang w:eastAsia="it-IT"/>
          <w14:ligatures w14:val="none"/>
        </w:rPr>
      </w:pPr>
      <w:r w:rsidRPr="00383330">
        <w:rPr>
          <w:rFonts w:eastAsia="Times New Roman" w:cs="Calibri"/>
          <w:kern w:val="0"/>
          <w:sz w:val="24"/>
          <w:szCs w:val="24"/>
          <w:lang w:eastAsia="it-IT"/>
          <w14:ligatures w14:val="none"/>
        </w:rPr>
        <w:t>Per quanto riguarda i dati complessivi degli investimenti attivati attraverso il Superbonus (componente energetica + sismica), questi ammontano — secondo i monitoraggi MEF-ENEA aggiornati a fine 2024 — a oltre 120 miliardi di euro di investimenti ammessi a detrazione su tutto il territorio nazionale, ma la quota specificamente riferita alla riduzione del rischio sismico non è di</w:t>
      </w:r>
      <w:r w:rsidR="00367228">
        <w:rPr>
          <w:rFonts w:eastAsia="Times New Roman" w:cs="Calibri"/>
          <w:kern w:val="0"/>
          <w:sz w:val="24"/>
          <w:szCs w:val="24"/>
          <w:lang w:eastAsia="it-IT"/>
          <w14:ligatures w14:val="none"/>
        </w:rPr>
        <w:t xml:space="preserve">saggregata </w:t>
      </w:r>
      <w:r w:rsidRPr="00383330">
        <w:rPr>
          <w:rFonts w:eastAsia="Times New Roman" w:cs="Calibri"/>
          <w:kern w:val="0"/>
          <w:sz w:val="24"/>
          <w:szCs w:val="24"/>
          <w:lang w:eastAsia="it-IT"/>
          <w14:ligatures w14:val="none"/>
        </w:rPr>
        <w:t xml:space="preserve"> in modo sistematico nelle fonti pubbliche disponibili.</w:t>
      </w:r>
    </w:p>
    <w:p w14:paraId="557C3B24" w14:textId="77777777" w:rsidR="004A5B21" w:rsidRPr="004A5B21" w:rsidRDefault="004A5B21" w:rsidP="004A5B21">
      <w:pPr>
        <w:spacing w:after="0" w:line="240" w:lineRule="auto"/>
        <w:jc w:val="both"/>
        <w:rPr>
          <w:rFonts w:eastAsia="Times New Roman" w:cs="Calibri"/>
          <w:kern w:val="0"/>
          <w:sz w:val="24"/>
          <w:szCs w:val="24"/>
          <w:lang w:eastAsia="it-IT"/>
          <w14:ligatures w14:val="none"/>
        </w:rPr>
      </w:pPr>
    </w:p>
    <w:p w14:paraId="7848ADE3" w14:textId="77777777" w:rsidR="00383330" w:rsidRPr="00FD0CD7" w:rsidRDefault="00383330" w:rsidP="004A5B21">
      <w:pPr>
        <w:spacing w:after="0" w:line="240" w:lineRule="auto"/>
        <w:jc w:val="both"/>
        <w:outlineLvl w:val="2"/>
        <w:rPr>
          <w:rFonts w:eastAsia="Times New Roman" w:cs="Calibri"/>
          <w:b/>
          <w:bCs/>
          <w:kern w:val="0"/>
          <w:sz w:val="24"/>
          <w:szCs w:val="24"/>
          <w:lang w:eastAsia="it-IT"/>
          <w14:ligatures w14:val="none"/>
        </w:rPr>
      </w:pPr>
      <w:r w:rsidRPr="00FD0CD7">
        <w:rPr>
          <w:rFonts w:eastAsia="Times New Roman" w:cs="Calibri"/>
          <w:b/>
          <w:bCs/>
          <w:kern w:val="0"/>
          <w:sz w:val="24"/>
          <w:szCs w:val="24"/>
          <w:lang w:eastAsia="it-IT"/>
          <w14:ligatures w14:val="none"/>
        </w:rPr>
        <w:t>Superbonus 110% (2020–2024) — dati ENEA</w:t>
      </w:r>
    </w:p>
    <w:p w14:paraId="1743C5D8" w14:textId="1DDED3DB" w:rsidR="00383330" w:rsidRPr="00FD0CD7" w:rsidRDefault="00383330" w:rsidP="004A5B21">
      <w:pPr>
        <w:spacing w:after="0" w:line="240" w:lineRule="auto"/>
        <w:jc w:val="both"/>
        <w:rPr>
          <w:rFonts w:eastAsia="Times New Roman" w:cs="Calibri"/>
          <w:kern w:val="0"/>
          <w:sz w:val="24"/>
          <w:szCs w:val="24"/>
          <w:lang w:eastAsia="it-IT"/>
          <w14:ligatures w14:val="none"/>
        </w:rPr>
      </w:pPr>
      <w:r w:rsidRPr="00FD0CD7">
        <w:rPr>
          <w:rFonts w:eastAsia="Times New Roman" w:cs="Calibri"/>
          <w:kern w:val="0"/>
          <w:sz w:val="24"/>
          <w:szCs w:val="24"/>
          <w:lang w:eastAsia="it-IT"/>
          <w14:ligatures w14:val="none"/>
        </w:rPr>
        <w:t xml:space="preserve">Secondo il report ENEA aggiornato al 31 agosto 2024, il numero di edifici coinvolti dal Superbonus è pari a </w:t>
      </w:r>
      <w:r w:rsidRPr="00FD0CD7">
        <w:rPr>
          <w:rFonts w:eastAsia="Times New Roman" w:cs="Calibri"/>
          <w:b/>
          <w:bCs/>
          <w:kern w:val="0"/>
          <w:sz w:val="24"/>
          <w:szCs w:val="24"/>
          <w:lang w:eastAsia="it-IT"/>
          <w14:ligatures w14:val="none"/>
        </w:rPr>
        <w:t>496.315</w:t>
      </w:r>
      <w:r w:rsidRPr="00FD0CD7">
        <w:rPr>
          <w:rFonts w:eastAsia="Times New Roman" w:cs="Calibri"/>
          <w:kern w:val="0"/>
          <w:sz w:val="24"/>
          <w:szCs w:val="24"/>
          <w:lang w:eastAsia="it-IT"/>
          <w14:ligatures w14:val="none"/>
        </w:rPr>
        <w:t xml:space="preserve">, per un totale di investimenti pari a circa </w:t>
      </w:r>
      <w:r w:rsidRPr="00FD0CD7">
        <w:rPr>
          <w:rFonts w:eastAsia="Times New Roman" w:cs="Calibri"/>
          <w:b/>
          <w:bCs/>
          <w:kern w:val="0"/>
          <w:sz w:val="24"/>
          <w:szCs w:val="24"/>
          <w:lang w:eastAsia="it-IT"/>
          <w14:ligatures w14:val="none"/>
        </w:rPr>
        <w:t>119,6 miliardi di euro</w:t>
      </w:r>
      <w:r w:rsidRPr="00FD0CD7">
        <w:rPr>
          <w:rFonts w:eastAsia="Times New Roman" w:cs="Calibri"/>
          <w:kern w:val="0"/>
          <w:sz w:val="24"/>
          <w:szCs w:val="24"/>
          <w:lang w:eastAsia="it-IT"/>
          <w14:ligatures w14:val="none"/>
        </w:rPr>
        <w:t xml:space="preserve">, di cui 117 miliardi ammessi a detrazione. </w:t>
      </w:r>
    </w:p>
    <w:p w14:paraId="1E09A3FF" w14:textId="087238A0" w:rsidR="00383330" w:rsidRPr="00FD0CD7" w:rsidRDefault="00383330" w:rsidP="004A5B21">
      <w:pPr>
        <w:spacing w:after="0" w:line="240" w:lineRule="auto"/>
        <w:jc w:val="both"/>
        <w:rPr>
          <w:rFonts w:eastAsia="Times New Roman" w:cs="Calibri"/>
          <w:kern w:val="0"/>
          <w:sz w:val="24"/>
          <w:szCs w:val="24"/>
          <w:lang w:eastAsia="it-IT"/>
          <w14:ligatures w14:val="none"/>
        </w:rPr>
      </w:pPr>
      <w:r w:rsidRPr="00FD0CD7">
        <w:rPr>
          <w:rFonts w:eastAsia="Times New Roman" w:cs="Calibri"/>
          <w:kern w:val="0"/>
          <w:sz w:val="24"/>
          <w:szCs w:val="24"/>
          <w:lang w:eastAsia="it-IT"/>
          <w14:ligatures w14:val="none"/>
        </w:rPr>
        <w:t xml:space="preserve">Il Superbonus ha complessivamente riguardato quasi 74.000 condomini, circa 237.000 edifici unifamiliari e 115.000 unità indipendenti. I lavori hanno interessato il </w:t>
      </w:r>
      <w:r w:rsidRPr="00FD0CD7">
        <w:rPr>
          <w:rFonts w:eastAsia="Times New Roman" w:cs="Calibri"/>
          <w:b/>
          <w:bCs/>
          <w:kern w:val="0"/>
          <w:sz w:val="24"/>
          <w:szCs w:val="24"/>
          <w:lang w:eastAsia="it-IT"/>
          <w14:ligatures w14:val="none"/>
        </w:rPr>
        <w:t>3,6% degli edifici unifamiliari</w:t>
      </w:r>
      <w:r w:rsidRPr="00FD0CD7">
        <w:rPr>
          <w:rFonts w:eastAsia="Times New Roman" w:cs="Calibri"/>
          <w:kern w:val="0"/>
          <w:sz w:val="24"/>
          <w:szCs w:val="24"/>
          <w:lang w:eastAsia="it-IT"/>
          <w14:ligatures w14:val="none"/>
        </w:rPr>
        <w:t xml:space="preserve"> e il </w:t>
      </w:r>
      <w:r w:rsidRPr="00FD0CD7">
        <w:rPr>
          <w:rFonts w:eastAsia="Times New Roman" w:cs="Calibri"/>
          <w:b/>
          <w:bCs/>
          <w:kern w:val="0"/>
          <w:sz w:val="24"/>
          <w:szCs w:val="24"/>
          <w:lang w:eastAsia="it-IT"/>
          <w14:ligatures w14:val="none"/>
        </w:rPr>
        <w:t>3,5% di condomini e unità funzionalmente indipendenti</w:t>
      </w:r>
      <w:r w:rsidRPr="00FD0CD7">
        <w:rPr>
          <w:rFonts w:eastAsia="Times New Roman" w:cs="Calibri"/>
          <w:kern w:val="0"/>
          <w:sz w:val="24"/>
          <w:szCs w:val="24"/>
          <w:lang w:eastAsia="it-IT"/>
          <w14:ligatures w14:val="none"/>
        </w:rPr>
        <w:t xml:space="preserve">. </w:t>
      </w:r>
    </w:p>
    <w:p w14:paraId="72E52DC6" w14:textId="598A41DE" w:rsidR="00383330" w:rsidRDefault="00383330" w:rsidP="004A5B21">
      <w:pPr>
        <w:spacing w:after="0" w:line="240" w:lineRule="auto"/>
        <w:jc w:val="both"/>
        <w:rPr>
          <w:rFonts w:eastAsia="Times New Roman" w:cs="Calibri"/>
          <w:kern w:val="0"/>
          <w:sz w:val="24"/>
          <w:szCs w:val="24"/>
          <w:lang w:eastAsia="it-IT"/>
          <w14:ligatures w14:val="none"/>
        </w:rPr>
      </w:pPr>
      <w:r w:rsidRPr="00FD0CD7">
        <w:rPr>
          <w:rFonts w:eastAsia="Times New Roman" w:cs="Calibri"/>
          <w:kern w:val="0"/>
          <w:sz w:val="24"/>
          <w:szCs w:val="24"/>
          <w:lang w:eastAsia="it-IT"/>
          <w14:ligatures w14:val="none"/>
        </w:rPr>
        <w:t xml:space="preserve">Occorre però </w:t>
      </w:r>
      <w:r w:rsidRPr="004A5B21">
        <w:rPr>
          <w:rFonts w:eastAsia="Times New Roman" w:cs="Calibri"/>
          <w:kern w:val="0"/>
          <w:sz w:val="24"/>
          <w:szCs w:val="24"/>
          <w:lang w:eastAsia="it-IT"/>
          <w14:ligatures w14:val="none"/>
        </w:rPr>
        <w:t xml:space="preserve">precisare che </w:t>
      </w:r>
      <w:r w:rsidRPr="00FD0CD7">
        <w:rPr>
          <w:rFonts w:eastAsia="Times New Roman" w:cs="Calibri"/>
          <w:kern w:val="0"/>
          <w:sz w:val="24"/>
          <w:szCs w:val="24"/>
          <w:lang w:eastAsia="it-IT"/>
          <w14:ligatures w14:val="none"/>
        </w:rPr>
        <w:t>il Superbonus includeva sia la componente energetica (trainante) sia quella sismica (trainata), ma le due voci non sono disaggregate nei report ENEA. Non è quindi possibile isolare con precisione quanti di quei 496.315 edifici abbiano ricevuto anche interventi antisismici.</w:t>
      </w:r>
    </w:p>
    <w:p w14:paraId="0B8E4FE4" w14:textId="77777777" w:rsidR="00032718" w:rsidRDefault="00032718" w:rsidP="004A5B21">
      <w:pPr>
        <w:spacing w:after="0" w:line="240" w:lineRule="auto"/>
        <w:jc w:val="both"/>
        <w:rPr>
          <w:rFonts w:eastAsia="Times New Roman" w:cs="Calibri"/>
          <w:kern w:val="0"/>
          <w:sz w:val="24"/>
          <w:szCs w:val="24"/>
          <w:lang w:eastAsia="it-IT"/>
          <w14:ligatures w14:val="none"/>
        </w:rPr>
      </w:pPr>
    </w:p>
    <w:p w14:paraId="2AB4240C" w14:textId="5E6E4057" w:rsidR="00D165E7" w:rsidRDefault="00032718" w:rsidP="002D1E59">
      <w:pPr>
        <w:spacing w:after="0" w:line="360" w:lineRule="auto"/>
        <w:rPr>
          <w:rFonts w:eastAsia="Times New Roman" w:cs="Calibri"/>
          <w:b/>
          <w:bCs/>
          <w:kern w:val="0"/>
          <w:sz w:val="24"/>
          <w:szCs w:val="24"/>
          <w:lang w:eastAsia="it-IT"/>
          <w14:ligatures w14:val="none"/>
        </w:rPr>
      </w:pPr>
      <w:r>
        <w:rPr>
          <w:rFonts w:eastAsia="Times New Roman" w:cs="Calibri"/>
          <w:b/>
          <w:bCs/>
          <w:kern w:val="0"/>
          <w:sz w:val="24"/>
          <w:szCs w:val="24"/>
          <w:lang w:eastAsia="it-IT"/>
          <w14:ligatures w14:val="none"/>
        </w:rPr>
        <w:t xml:space="preserve"> 6. Incentivi per Edilizia Sociale Missione7 investimento 17 PNRR</w:t>
      </w:r>
    </w:p>
    <w:p w14:paraId="6E494FD0" w14:textId="77777777" w:rsidR="002D1E59" w:rsidRDefault="002D1E59" w:rsidP="002D1E59">
      <w:pPr>
        <w:spacing w:after="0" w:line="360" w:lineRule="auto"/>
        <w:rPr>
          <w:rFonts w:eastAsia="Times New Roman" w:cs="Calibri"/>
          <w:b/>
          <w:bCs/>
          <w:kern w:val="0"/>
          <w:sz w:val="24"/>
          <w:szCs w:val="24"/>
          <w:lang w:eastAsia="it-IT"/>
          <w14:ligatures w14:val="none"/>
        </w:rPr>
      </w:pPr>
    </w:p>
    <w:p w14:paraId="312EEEE1" w14:textId="77777777" w:rsidR="002D1E59" w:rsidRDefault="002D1E59" w:rsidP="002D1E59">
      <w:pPr>
        <w:spacing w:after="0" w:line="360" w:lineRule="auto"/>
        <w:rPr>
          <w:rFonts w:eastAsia="Times New Roman" w:cs="Calibri"/>
          <w:b/>
          <w:bCs/>
          <w:kern w:val="0"/>
          <w:sz w:val="24"/>
          <w:szCs w:val="24"/>
          <w:lang w:eastAsia="it-IT"/>
          <w14:ligatures w14:val="none"/>
        </w:rPr>
      </w:pPr>
    </w:p>
    <w:p w14:paraId="37BE45FC" w14:textId="77777777" w:rsidR="002D1E59" w:rsidRDefault="002D1E59" w:rsidP="002D1E59">
      <w:pPr>
        <w:spacing w:after="0" w:line="360" w:lineRule="auto"/>
        <w:rPr>
          <w:rFonts w:eastAsia="Times New Roman" w:cs="Calibri"/>
          <w:b/>
          <w:bCs/>
          <w:kern w:val="0"/>
          <w:sz w:val="24"/>
          <w:szCs w:val="24"/>
          <w:lang w:eastAsia="it-IT"/>
          <w14:ligatures w14:val="none"/>
        </w:rPr>
      </w:pPr>
    </w:p>
    <w:p w14:paraId="3764262C" w14:textId="77777777" w:rsidR="002D1E59" w:rsidRDefault="002D1E59" w:rsidP="002D1E59">
      <w:pPr>
        <w:spacing w:after="0" w:line="360" w:lineRule="auto"/>
        <w:rPr>
          <w:rFonts w:eastAsia="Times New Roman" w:cs="Calibri"/>
          <w:b/>
          <w:bCs/>
          <w:kern w:val="0"/>
          <w:sz w:val="24"/>
          <w:szCs w:val="24"/>
          <w:lang w:eastAsia="it-IT"/>
          <w14:ligatures w14:val="none"/>
        </w:rPr>
      </w:pPr>
    </w:p>
    <w:p w14:paraId="1C254E27" w14:textId="77777777" w:rsidR="002D1E59" w:rsidRDefault="002D1E59" w:rsidP="002D1E59">
      <w:pPr>
        <w:spacing w:after="0" w:line="360" w:lineRule="auto"/>
        <w:rPr>
          <w:rFonts w:eastAsia="Times New Roman" w:cs="Calibri"/>
          <w:b/>
          <w:bCs/>
          <w:kern w:val="0"/>
          <w:sz w:val="24"/>
          <w:szCs w:val="24"/>
          <w:lang w:eastAsia="it-IT"/>
          <w14:ligatures w14:val="none"/>
        </w:rPr>
      </w:pPr>
    </w:p>
    <w:p w14:paraId="0B5DDAD6" w14:textId="77777777" w:rsidR="002D1E59" w:rsidRDefault="002D1E59" w:rsidP="002D1E59">
      <w:pPr>
        <w:spacing w:after="0" w:line="360" w:lineRule="auto"/>
        <w:rPr>
          <w:rFonts w:eastAsia="Times New Roman" w:cs="Calibri"/>
          <w:b/>
          <w:bCs/>
          <w:kern w:val="0"/>
          <w:sz w:val="24"/>
          <w:szCs w:val="24"/>
          <w:lang w:eastAsia="it-IT"/>
          <w14:ligatures w14:val="none"/>
        </w:rPr>
      </w:pPr>
    </w:p>
    <w:p w14:paraId="7BFF7399" w14:textId="77777777" w:rsidR="002D1E59" w:rsidRDefault="002D1E59" w:rsidP="002D1E59">
      <w:pPr>
        <w:spacing w:after="0" w:line="360" w:lineRule="auto"/>
        <w:rPr>
          <w:rFonts w:eastAsia="Times New Roman" w:cs="Calibri"/>
          <w:b/>
          <w:bCs/>
          <w:kern w:val="0"/>
          <w:sz w:val="24"/>
          <w:szCs w:val="24"/>
          <w:lang w:eastAsia="it-IT"/>
          <w14:ligatures w14:val="none"/>
        </w:rPr>
      </w:pPr>
    </w:p>
    <w:p w14:paraId="142DF9E8" w14:textId="4CD12429" w:rsidR="002D1E59" w:rsidRPr="002D1E59" w:rsidRDefault="002D1E59" w:rsidP="002D1E59">
      <w:pPr>
        <w:pStyle w:val="Paragrafoelenco"/>
        <w:numPr>
          <w:ilvl w:val="0"/>
          <w:numId w:val="2"/>
        </w:numPr>
        <w:spacing w:line="360" w:lineRule="auto"/>
        <w:rPr>
          <w:rFonts w:eastAsia="Calibri" w:cs="Calibri"/>
          <w:sz w:val="24"/>
          <w:szCs w:val="24"/>
        </w:rPr>
      </w:pPr>
      <w:r w:rsidRPr="002D1E59">
        <w:rPr>
          <w:rFonts w:eastAsia="Times New Roman" w:cs="Calibri"/>
          <w:kern w:val="0"/>
          <w:sz w:val="24"/>
          <w:szCs w:val="24"/>
          <w:lang w:eastAsia="it-IT"/>
          <w14:ligatures w14:val="none"/>
        </w:rPr>
        <w:t>.</w:t>
      </w:r>
      <w:r w:rsidRPr="002D1E59">
        <w:rPr>
          <w:rFonts w:eastAsia="Calibri" w:cs="Calibri"/>
          <w:sz w:val="24"/>
          <w:szCs w:val="24"/>
          <w:u w:val="single"/>
        </w:rPr>
        <w:t xml:space="preserve"> </w:t>
      </w:r>
      <w:r w:rsidRPr="002D1E59">
        <w:rPr>
          <w:rFonts w:eastAsia="Calibri" w:cs="Calibri"/>
          <w:b/>
          <w:bCs/>
          <w:sz w:val="24"/>
          <w:szCs w:val="24"/>
          <w:u w:val="single"/>
        </w:rPr>
        <w:t>PROMUOVERE L’UTILIZZO DI MATERIALI DA COSTRUZIONE A BASSO IMPATTO AMBIENTALE</w:t>
      </w:r>
    </w:p>
    <w:p w14:paraId="4331FB4F" w14:textId="77777777" w:rsidR="00DF234B" w:rsidRDefault="00DF234B" w:rsidP="00776FC3">
      <w:pPr>
        <w:spacing w:line="360" w:lineRule="auto"/>
        <w:ind w:left="720"/>
        <w:contextualSpacing/>
        <w:rPr>
          <w:rFonts w:eastAsia="Calibri" w:cs="Calibri"/>
          <w:sz w:val="24"/>
          <w:szCs w:val="24"/>
        </w:rPr>
      </w:pPr>
    </w:p>
    <w:p w14:paraId="0A310989" w14:textId="77777777" w:rsidR="00DF234B" w:rsidRDefault="00DF234B" w:rsidP="00776FC3">
      <w:pPr>
        <w:spacing w:line="360" w:lineRule="auto"/>
        <w:ind w:left="720"/>
        <w:contextualSpacing/>
        <w:rPr>
          <w:rFonts w:eastAsia="Calibri" w:cs="Calibri"/>
          <w:sz w:val="24"/>
          <w:szCs w:val="24"/>
        </w:rPr>
      </w:pPr>
    </w:p>
    <w:p w14:paraId="0DE99742" w14:textId="6F82DBA4" w:rsidR="00776FC3" w:rsidRDefault="00776FC3" w:rsidP="00776FC3">
      <w:pPr>
        <w:spacing w:line="360" w:lineRule="auto"/>
        <w:ind w:left="720"/>
        <w:contextualSpacing/>
        <w:rPr>
          <w:rFonts w:ascii="Titillium Web" w:eastAsia="Times New Roman" w:hAnsi="Titillium Web" w:cs="Times New Roman"/>
          <w:color w:val="19191A"/>
          <w:kern w:val="0"/>
          <w:sz w:val="27"/>
          <w:szCs w:val="27"/>
          <w:lang w:eastAsia="it-IT"/>
          <w14:ligatures w14:val="none"/>
        </w:rPr>
      </w:pPr>
      <w:r>
        <w:rPr>
          <w:rFonts w:eastAsia="Calibri" w:cs="Calibri"/>
          <w:sz w:val="24"/>
          <w:szCs w:val="24"/>
        </w:rPr>
        <w:t>I</w:t>
      </w:r>
      <w:r w:rsidRPr="00776FC3">
        <w:rPr>
          <w:rFonts w:eastAsia="Calibri" w:cs="Calibri"/>
          <w:sz w:val="24"/>
          <w:szCs w:val="24"/>
        </w:rPr>
        <w:t>n Italia, l’efficacia dei CAM è stata assicurata grazie alle previsioni contenute nel Codice dei contratti. Infatti, l'articolo 57 comma 2 del decreto legislativo 31 marzo 2023, n. 36, prevede l’obbligo di applicazione, per l’intero valore dell’importo della gara, delle “specifiche tecniche” e delle “clausole contrattuali”, contenute nei criteri ambientali minimi (CAM). Lo stesso comma prevede che si debba tener conto dei CAM anche per la definizione dei “criteri di aggiudicazione dell’appalto” di cui all’art. 108, commi 4 e 5, del Codice.</w:t>
      </w:r>
      <w:r w:rsidRPr="00776FC3">
        <w:rPr>
          <w:rFonts w:ascii="Titillium Web" w:eastAsia="Times New Roman" w:hAnsi="Titillium Web" w:cs="Times New Roman"/>
          <w:color w:val="19191A"/>
          <w:kern w:val="0"/>
          <w:sz w:val="27"/>
          <w:szCs w:val="27"/>
          <w:lang w:eastAsia="it-IT"/>
          <w14:ligatures w14:val="none"/>
        </w:rPr>
        <w:t xml:space="preserve"> </w:t>
      </w:r>
    </w:p>
    <w:p w14:paraId="275905A7" w14:textId="51F3B813" w:rsidR="00776FC3" w:rsidRPr="00776FC3" w:rsidRDefault="00776FC3" w:rsidP="00776FC3">
      <w:pPr>
        <w:spacing w:line="360" w:lineRule="auto"/>
        <w:ind w:left="720"/>
        <w:contextualSpacing/>
        <w:rPr>
          <w:rFonts w:eastAsia="Calibri" w:cs="Calibri"/>
        </w:rPr>
      </w:pPr>
      <w:r w:rsidRPr="00776FC3">
        <w:rPr>
          <w:rFonts w:eastAsia="Calibri" w:cs="Calibri"/>
        </w:rPr>
        <w:t>Questo obbligo garantisce che la politica nazionale in materia di appalti pubblici verdi sia incisiva non solo nell’obiettivo di ridurre gli impatti ambientali, ma nell’obiettivo di promuovere modelli di produzione e consumo più sostenibili, “circolari“ e nell’aumento del numero di occupati nei diversi settori delle filiere più sostenibili.</w:t>
      </w:r>
    </w:p>
    <w:p w14:paraId="1D3A98EF" w14:textId="77777777" w:rsidR="00776FC3" w:rsidRPr="00776FC3" w:rsidRDefault="00776FC3" w:rsidP="00776FC3">
      <w:pPr>
        <w:spacing w:line="360" w:lineRule="auto"/>
        <w:ind w:left="720"/>
        <w:contextualSpacing/>
        <w:rPr>
          <w:rFonts w:eastAsia="Calibri" w:cs="Calibri"/>
          <w:sz w:val="24"/>
          <w:szCs w:val="24"/>
        </w:rPr>
      </w:pPr>
      <w:r w:rsidRPr="00776FC3">
        <w:rPr>
          <w:rFonts w:eastAsia="Calibri" w:cs="Calibri"/>
          <w:sz w:val="24"/>
          <w:szCs w:val="24"/>
        </w:rPr>
        <w:t>Oltre alla valorizzazione della qualità ambientale e al rispetto dei criteri sociali, l’applicazione dei Criteri Ambientali Minimi risponde anche all’esigenza della Pubblica amministrazione di razionalizzare i propri consumi, ottimizzando la spesa in un’ottica di medio-lungo periodo.</w:t>
      </w:r>
    </w:p>
    <w:p w14:paraId="6C09C451" w14:textId="645DBA2D" w:rsidR="00776FC3" w:rsidRPr="00776FC3" w:rsidRDefault="00776FC3" w:rsidP="00776FC3">
      <w:pPr>
        <w:spacing w:line="360" w:lineRule="auto"/>
        <w:ind w:left="720"/>
        <w:contextualSpacing/>
        <w:rPr>
          <w:rFonts w:eastAsia="Calibri" w:cs="Calibri"/>
          <w:b/>
          <w:bCs/>
          <w:sz w:val="24"/>
          <w:szCs w:val="24"/>
        </w:rPr>
      </w:pPr>
      <w:r w:rsidRPr="00776FC3">
        <w:rPr>
          <w:rFonts w:eastAsia="Calibri" w:cs="Calibri"/>
          <w:sz w:val="24"/>
          <w:szCs w:val="24"/>
        </w:rPr>
        <w:t>Il 12 febbraio 2026 è stato firmato il </w:t>
      </w:r>
      <w:hyperlink r:id="rId5" w:tgtFrame="_blank" w:tooltip="decreto direttoriale" w:history="1">
        <w:r w:rsidRPr="00776FC3">
          <w:rPr>
            <w:rStyle w:val="Collegamentoipertestuale"/>
            <w:rFonts w:eastAsia="Calibri" w:cs="Calibri"/>
            <w:b/>
            <w:bCs/>
            <w:sz w:val="24"/>
            <w:szCs w:val="24"/>
          </w:rPr>
          <w:t>decreto direttoriale - pdf</w:t>
        </w:r>
      </w:hyperlink>
      <w:r w:rsidRPr="00776FC3">
        <w:rPr>
          <w:rFonts w:eastAsia="Calibri" w:cs="Calibri"/>
          <w:sz w:val="24"/>
          <w:szCs w:val="24"/>
        </w:rPr>
        <w:t> che stabilisce la programmazione delle attività volte alla definizione o aggiornamento dei criteri ambientali minimi per l’anno 2026.</w:t>
      </w:r>
      <w:r w:rsidR="005B2423" w:rsidRPr="005B2423">
        <w:t xml:space="preserve"> </w:t>
      </w:r>
      <w:r w:rsidR="005B2423" w:rsidRPr="005B2423">
        <w:rPr>
          <w:rFonts w:eastAsia="Calibri" w:cs="Calibri"/>
          <w:sz w:val="24"/>
          <w:szCs w:val="24"/>
        </w:rPr>
        <w:t>La stazione appaltante dovrebbe quindi considerare la progettazione e l’uso dei materiali secondo un approccio LCA (Life Cycle Assessment-analisi del ciclo di vita) e considerare il “sistema edificio” nel suo insieme di aspetti prestazionali coerentemente al processo di rendicontazione ambientale anche operato mediante protocolli energetico ambientali (rating system) nazionali ed internazionali. Tali obiettivi sono al centro delle politiche ambientali europee da circa un decennio, attraverso la promozione dell’uso di risorse da fonte rinnovabile e la circolarità nell’uso delle risorse. Infatti, già fin dalla Risoluzione del Parlamento europeo del 24 maggio 2012 su un'Europa efficiente nell'impiego delle risorse (2011/2068(INI)), si affermava che, pur “considerando che una futura politica globale in materia di risorse non dovrebbe più distinguere solo tra risorse «rinnovabili» e «non rinnovabili», bensì considerare anche i materiali «durevoli»”, “</w:t>
      </w:r>
      <w:r w:rsidR="005B2423" w:rsidRPr="005B2423">
        <w:rPr>
          <w:rFonts w:eastAsia="Calibri" w:cs="Calibri"/>
          <w:b/>
          <w:bCs/>
          <w:sz w:val="24"/>
          <w:szCs w:val="24"/>
        </w:rPr>
        <w:t>richiama l'attenzione sul ruolo delle risorse naturali rinnovabili, come le foreste, in relazione all'efficienza delle risorse; invita la Commissione a incoraggiare l'uso di materie prime e altri materiali rinnovabili, bioderivati, riciclabili e rispettosi dell'ambiente; sottolinea in particolare che l'impiego di materiali rinnovabili a basse emissioni, come il legno, per la costruzione è efficiente sotto il profilo delle risorse”.</w:t>
      </w:r>
    </w:p>
    <w:p w14:paraId="42D8F1C7" w14:textId="4DBD39CE" w:rsidR="002D1E59" w:rsidRPr="002D1E59" w:rsidRDefault="002D1E59" w:rsidP="002D1E59">
      <w:pPr>
        <w:spacing w:line="360" w:lineRule="auto"/>
        <w:ind w:left="720"/>
        <w:contextualSpacing/>
        <w:rPr>
          <w:rFonts w:eastAsia="Calibri" w:cs="Calibri"/>
          <w:sz w:val="24"/>
          <w:szCs w:val="24"/>
        </w:rPr>
      </w:pPr>
    </w:p>
    <w:p w14:paraId="364068FA" w14:textId="77777777" w:rsidR="002D1E59" w:rsidRPr="002D1E59" w:rsidRDefault="002D1E59" w:rsidP="002D1E59">
      <w:pPr>
        <w:ind w:left="720"/>
        <w:contextualSpacing/>
        <w:jc w:val="both"/>
        <w:rPr>
          <w:rFonts w:eastAsia="Calibri" w:cs="Times New Roman"/>
          <w:sz w:val="24"/>
          <w:szCs w:val="24"/>
        </w:rPr>
      </w:pPr>
    </w:p>
    <w:p w14:paraId="0DA78BB8" w14:textId="600804CD" w:rsidR="002D1E59" w:rsidRDefault="002D1E59" w:rsidP="004A5B21">
      <w:pPr>
        <w:spacing w:after="0" w:line="240" w:lineRule="auto"/>
        <w:jc w:val="both"/>
        <w:rPr>
          <w:rFonts w:eastAsia="Times New Roman" w:cs="Calibri"/>
          <w:b/>
          <w:bCs/>
          <w:kern w:val="0"/>
          <w:sz w:val="24"/>
          <w:szCs w:val="24"/>
          <w:lang w:eastAsia="it-IT"/>
          <w14:ligatures w14:val="none"/>
        </w:rPr>
      </w:pPr>
    </w:p>
    <w:p w14:paraId="18773684" w14:textId="77777777" w:rsidR="00032718" w:rsidRPr="004A5B21" w:rsidRDefault="00032718" w:rsidP="004A5B21">
      <w:pPr>
        <w:spacing w:after="0" w:line="240" w:lineRule="auto"/>
        <w:jc w:val="both"/>
        <w:rPr>
          <w:rFonts w:cs="Calibri"/>
          <w:sz w:val="24"/>
          <w:szCs w:val="24"/>
        </w:rPr>
      </w:pPr>
    </w:p>
    <w:sectPr w:rsidR="00032718" w:rsidRPr="004A5B21">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tillium Web">
    <w:charset w:val="00"/>
    <w:family w:val="auto"/>
    <w:pitch w:val="variable"/>
    <w:sig w:usb0="00000007" w:usb1="00000001"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015E92"/>
    <w:multiLevelType w:val="hybridMultilevel"/>
    <w:tmpl w:val="B89CF156"/>
    <w:lvl w:ilvl="0" w:tplc="26F27C4A">
      <w:numFmt w:val="bullet"/>
      <w:lvlText w:val="-"/>
      <w:lvlJc w:val="left"/>
      <w:pPr>
        <w:ind w:left="720" w:hanging="360"/>
      </w:pPr>
      <w:rPr>
        <w:rFonts w:ascii="Calibri Light" w:eastAsia="MS Mincho" w:hAnsi="Calibri Light" w:cs="Calibri Light"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6DA94E1C"/>
    <w:multiLevelType w:val="multilevel"/>
    <w:tmpl w:val="86F83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00785172">
    <w:abstractNumId w:val="1"/>
  </w:num>
  <w:num w:numId="2" w16cid:durableId="11139390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08"/>
  <w:hyphenationZone w:val="283"/>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330"/>
    <w:rsid w:val="00032718"/>
    <w:rsid w:val="0007377A"/>
    <w:rsid w:val="000D6ABD"/>
    <w:rsid w:val="001E2CE0"/>
    <w:rsid w:val="002A2C86"/>
    <w:rsid w:val="002D1E59"/>
    <w:rsid w:val="00367228"/>
    <w:rsid w:val="00383330"/>
    <w:rsid w:val="003C6ACF"/>
    <w:rsid w:val="0045661C"/>
    <w:rsid w:val="004A5B21"/>
    <w:rsid w:val="005B2423"/>
    <w:rsid w:val="00776FC3"/>
    <w:rsid w:val="007E4D63"/>
    <w:rsid w:val="009F2F04"/>
    <w:rsid w:val="00A148C4"/>
    <w:rsid w:val="00B22A96"/>
    <w:rsid w:val="00B813A4"/>
    <w:rsid w:val="00D165E7"/>
    <w:rsid w:val="00D45AC7"/>
    <w:rsid w:val="00DF234B"/>
    <w:rsid w:val="00F652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45CAA"/>
  <w15:chartTrackingRefBased/>
  <w15:docId w15:val="{C347A857-7C47-4FAA-B660-63BC9084B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3833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unhideWhenUsed/>
    <w:qFormat/>
    <w:rsid w:val="003833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383330"/>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38333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383330"/>
    <w:pPr>
      <w:keepNext/>
      <w:keepLines/>
      <w:spacing w:before="80" w:after="40"/>
      <w:outlineLvl w:val="4"/>
    </w:pPr>
    <w:rPr>
      <w:rFonts w:asciiTheme="minorHAnsi" w:eastAsiaTheme="majorEastAsia" w:hAnsiTheme="minorHAnsi" w:cstheme="majorBidi"/>
      <w:color w:val="0F4761" w:themeColor="accent1" w:themeShade="BF"/>
    </w:rPr>
  </w:style>
  <w:style w:type="paragraph" w:styleId="Titolo6">
    <w:name w:val="heading 6"/>
    <w:basedOn w:val="Normale"/>
    <w:next w:val="Normale"/>
    <w:link w:val="Titolo6Carattere"/>
    <w:uiPriority w:val="9"/>
    <w:semiHidden/>
    <w:unhideWhenUsed/>
    <w:qFormat/>
    <w:rsid w:val="00383330"/>
    <w:pPr>
      <w:keepNext/>
      <w:keepLines/>
      <w:spacing w:before="40" w:after="0"/>
      <w:outlineLvl w:val="5"/>
    </w:pPr>
    <w:rPr>
      <w:rFonts w:asciiTheme="minorHAnsi" w:eastAsiaTheme="majorEastAsia" w:hAnsiTheme="minorHAnsi" w:cstheme="majorBidi"/>
      <w:i/>
      <w:iCs/>
      <w:color w:val="595959" w:themeColor="text1" w:themeTint="A6"/>
    </w:rPr>
  </w:style>
  <w:style w:type="paragraph" w:styleId="Titolo7">
    <w:name w:val="heading 7"/>
    <w:basedOn w:val="Normale"/>
    <w:next w:val="Normale"/>
    <w:link w:val="Titolo7Carattere"/>
    <w:uiPriority w:val="9"/>
    <w:semiHidden/>
    <w:unhideWhenUsed/>
    <w:qFormat/>
    <w:rsid w:val="00383330"/>
    <w:pPr>
      <w:keepNext/>
      <w:keepLines/>
      <w:spacing w:before="40" w:after="0"/>
      <w:outlineLvl w:val="6"/>
    </w:pPr>
    <w:rPr>
      <w:rFonts w:asciiTheme="minorHAnsi" w:eastAsiaTheme="majorEastAsia" w:hAnsiTheme="minorHAnsi" w:cstheme="majorBidi"/>
      <w:color w:val="595959" w:themeColor="text1" w:themeTint="A6"/>
    </w:rPr>
  </w:style>
  <w:style w:type="paragraph" w:styleId="Titolo8">
    <w:name w:val="heading 8"/>
    <w:basedOn w:val="Normale"/>
    <w:next w:val="Normale"/>
    <w:link w:val="Titolo8Carattere"/>
    <w:uiPriority w:val="9"/>
    <w:semiHidden/>
    <w:unhideWhenUsed/>
    <w:qFormat/>
    <w:rsid w:val="00383330"/>
    <w:pPr>
      <w:keepNext/>
      <w:keepLines/>
      <w:spacing w:after="0"/>
      <w:outlineLvl w:val="7"/>
    </w:pPr>
    <w:rPr>
      <w:rFonts w:asciiTheme="minorHAnsi" w:eastAsiaTheme="majorEastAsia" w:hAnsiTheme="minorHAnsi" w:cstheme="majorBidi"/>
      <w:i/>
      <w:iCs/>
      <w:color w:val="272727" w:themeColor="text1" w:themeTint="D8"/>
    </w:rPr>
  </w:style>
  <w:style w:type="paragraph" w:styleId="Titolo9">
    <w:name w:val="heading 9"/>
    <w:basedOn w:val="Normale"/>
    <w:next w:val="Normale"/>
    <w:link w:val="Titolo9Carattere"/>
    <w:uiPriority w:val="9"/>
    <w:semiHidden/>
    <w:unhideWhenUsed/>
    <w:qFormat/>
    <w:rsid w:val="00383330"/>
    <w:pPr>
      <w:keepNext/>
      <w:keepLines/>
      <w:spacing w:after="0"/>
      <w:outlineLvl w:val="8"/>
    </w:pPr>
    <w:rPr>
      <w:rFonts w:asciiTheme="minorHAnsi" w:eastAsiaTheme="majorEastAsia" w:hAnsiTheme="minorHAnsi"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383330"/>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rsid w:val="00383330"/>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383330"/>
    <w:rPr>
      <w:rFonts w:asciiTheme="minorHAnsi" w:eastAsiaTheme="majorEastAsia" w:hAnsiTheme="minorHAnsi"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383330"/>
    <w:rPr>
      <w:rFonts w:asciiTheme="minorHAnsi" w:eastAsiaTheme="majorEastAsia" w:hAnsiTheme="minorHAnsi" w:cstheme="majorBidi"/>
      <w:i/>
      <w:iCs/>
      <w:color w:val="0F4761" w:themeColor="accent1" w:themeShade="BF"/>
    </w:rPr>
  </w:style>
  <w:style w:type="character" w:customStyle="1" w:styleId="Titolo5Carattere">
    <w:name w:val="Titolo 5 Carattere"/>
    <w:basedOn w:val="Carpredefinitoparagrafo"/>
    <w:link w:val="Titolo5"/>
    <w:uiPriority w:val="9"/>
    <w:semiHidden/>
    <w:rsid w:val="00383330"/>
    <w:rPr>
      <w:rFonts w:asciiTheme="minorHAnsi" w:eastAsiaTheme="majorEastAsia" w:hAnsiTheme="minorHAnsi" w:cstheme="majorBidi"/>
      <w:color w:val="0F4761" w:themeColor="accent1" w:themeShade="BF"/>
    </w:rPr>
  </w:style>
  <w:style w:type="character" w:customStyle="1" w:styleId="Titolo6Carattere">
    <w:name w:val="Titolo 6 Carattere"/>
    <w:basedOn w:val="Carpredefinitoparagrafo"/>
    <w:link w:val="Titolo6"/>
    <w:uiPriority w:val="9"/>
    <w:semiHidden/>
    <w:rsid w:val="00383330"/>
    <w:rPr>
      <w:rFonts w:asciiTheme="minorHAnsi" w:eastAsiaTheme="majorEastAsia" w:hAnsiTheme="minorHAnsi" w:cstheme="majorBidi"/>
      <w:i/>
      <w:iCs/>
      <w:color w:val="595959" w:themeColor="text1" w:themeTint="A6"/>
    </w:rPr>
  </w:style>
  <w:style w:type="character" w:customStyle="1" w:styleId="Titolo7Carattere">
    <w:name w:val="Titolo 7 Carattere"/>
    <w:basedOn w:val="Carpredefinitoparagrafo"/>
    <w:link w:val="Titolo7"/>
    <w:uiPriority w:val="9"/>
    <w:semiHidden/>
    <w:rsid w:val="00383330"/>
    <w:rPr>
      <w:rFonts w:asciiTheme="minorHAnsi" w:eastAsiaTheme="majorEastAsia" w:hAnsiTheme="minorHAnsi" w:cstheme="majorBidi"/>
      <w:color w:val="595959" w:themeColor="text1" w:themeTint="A6"/>
    </w:rPr>
  </w:style>
  <w:style w:type="character" w:customStyle="1" w:styleId="Titolo8Carattere">
    <w:name w:val="Titolo 8 Carattere"/>
    <w:basedOn w:val="Carpredefinitoparagrafo"/>
    <w:link w:val="Titolo8"/>
    <w:uiPriority w:val="9"/>
    <w:semiHidden/>
    <w:rsid w:val="00383330"/>
    <w:rPr>
      <w:rFonts w:asciiTheme="minorHAnsi" w:eastAsiaTheme="majorEastAsia" w:hAnsiTheme="minorHAnsi" w:cstheme="majorBidi"/>
      <w:i/>
      <w:iCs/>
      <w:color w:val="272727" w:themeColor="text1" w:themeTint="D8"/>
    </w:rPr>
  </w:style>
  <w:style w:type="character" w:customStyle="1" w:styleId="Titolo9Carattere">
    <w:name w:val="Titolo 9 Carattere"/>
    <w:basedOn w:val="Carpredefinitoparagrafo"/>
    <w:link w:val="Titolo9"/>
    <w:uiPriority w:val="9"/>
    <w:semiHidden/>
    <w:rsid w:val="00383330"/>
    <w:rPr>
      <w:rFonts w:asciiTheme="minorHAnsi" w:eastAsiaTheme="majorEastAsia" w:hAnsiTheme="minorHAnsi" w:cstheme="majorBidi"/>
      <w:color w:val="272727" w:themeColor="text1" w:themeTint="D8"/>
    </w:rPr>
  </w:style>
  <w:style w:type="paragraph" w:styleId="Titolo">
    <w:name w:val="Title"/>
    <w:basedOn w:val="Normale"/>
    <w:next w:val="Normale"/>
    <w:link w:val="TitoloCarattere"/>
    <w:uiPriority w:val="10"/>
    <w:qFormat/>
    <w:rsid w:val="003833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383330"/>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38333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383330"/>
    <w:rPr>
      <w:rFonts w:asciiTheme="minorHAnsi" w:eastAsiaTheme="majorEastAsia" w:hAnsiTheme="minorHAnsi"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383330"/>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383330"/>
    <w:rPr>
      <w:i/>
      <w:iCs/>
      <w:color w:val="404040" w:themeColor="text1" w:themeTint="BF"/>
    </w:rPr>
  </w:style>
  <w:style w:type="paragraph" w:styleId="Paragrafoelenco">
    <w:name w:val="List Paragraph"/>
    <w:basedOn w:val="Normale"/>
    <w:uiPriority w:val="34"/>
    <w:qFormat/>
    <w:rsid w:val="00383330"/>
    <w:pPr>
      <w:ind w:left="720"/>
      <w:contextualSpacing/>
    </w:pPr>
  </w:style>
  <w:style w:type="character" w:styleId="Enfasiintensa">
    <w:name w:val="Intense Emphasis"/>
    <w:basedOn w:val="Carpredefinitoparagrafo"/>
    <w:uiPriority w:val="21"/>
    <w:qFormat/>
    <w:rsid w:val="00383330"/>
    <w:rPr>
      <w:i/>
      <w:iCs/>
      <w:color w:val="0F4761" w:themeColor="accent1" w:themeShade="BF"/>
    </w:rPr>
  </w:style>
  <w:style w:type="paragraph" w:styleId="Citazioneintensa">
    <w:name w:val="Intense Quote"/>
    <w:basedOn w:val="Normale"/>
    <w:next w:val="Normale"/>
    <w:link w:val="CitazioneintensaCarattere"/>
    <w:uiPriority w:val="30"/>
    <w:qFormat/>
    <w:rsid w:val="003833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383330"/>
    <w:rPr>
      <w:i/>
      <w:iCs/>
      <w:color w:val="0F4761" w:themeColor="accent1" w:themeShade="BF"/>
    </w:rPr>
  </w:style>
  <w:style w:type="character" w:styleId="Riferimentointenso">
    <w:name w:val="Intense Reference"/>
    <w:basedOn w:val="Carpredefinitoparagrafo"/>
    <w:uiPriority w:val="32"/>
    <w:qFormat/>
    <w:rsid w:val="00383330"/>
    <w:rPr>
      <w:b/>
      <w:bCs/>
      <w:smallCaps/>
      <w:color w:val="0F4761" w:themeColor="accent1" w:themeShade="BF"/>
      <w:spacing w:val="5"/>
    </w:rPr>
  </w:style>
  <w:style w:type="paragraph" w:customStyle="1" w:styleId="font-claude-response-body">
    <w:name w:val="font-claude-response-body"/>
    <w:basedOn w:val="Normale"/>
    <w:rsid w:val="00383330"/>
    <w:pPr>
      <w:spacing w:before="100" w:beforeAutospacing="1" w:after="100" w:afterAutospacing="1" w:line="240" w:lineRule="auto"/>
    </w:pPr>
    <w:rPr>
      <w:rFonts w:ascii="Times New Roman" w:eastAsia="Times New Roman" w:hAnsi="Times New Roman" w:cs="Times New Roman"/>
      <w:kern w:val="0"/>
      <w:sz w:val="24"/>
      <w:szCs w:val="24"/>
      <w:lang w:eastAsia="it-IT"/>
    </w:rPr>
  </w:style>
  <w:style w:type="character" w:styleId="Enfasigrassetto">
    <w:name w:val="Strong"/>
    <w:basedOn w:val="Carpredefinitoparagrafo"/>
    <w:uiPriority w:val="22"/>
    <w:qFormat/>
    <w:rsid w:val="00383330"/>
    <w:rPr>
      <w:b/>
      <w:bCs/>
    </w:rPr>
  </w:style>
  <w:style w:type="paragraph" w:customStyle="1" w:styleId="whitespace-normal">
    <w:name w:val="whitespace-normal"/>
    <w:basedOn w:val="Normale"/>
    <w:rsid w:val="00383330"/>
    <w:pPr>
      <w:spacing w:before="100" w:beforeAutospacing="1" w:after="100" w:afterAutospacing="1" w:line="240" w:lineRule="auto"/>
    </w:pPr>
    <w:rPr>
      <w:rFonts w:ascii="Times New Roman" w:eastAsia="Times New Roman" w:hAnsi="Times New Roman" w:cs="Times New Roman"/>
      <w:kern w:val="0"/>
      <w:sz w:val="24"/>
      <w:szCs w:val="24"/>
      <w:lang w:eastAsia="it-IT"/>
    </w:rPr>
  </w:style>
  <w:style w:type="paragraph" w:styleId="NormaleWeb">
    <w:name w:val="Normal (Web)"/>
    <w:basedOn w:val="Normale"/>
    <w:uiPriority w:val="99"/>
    <w:semiHidden/>
    <w:unhideWhenUsed/>
    <w:rsid w:val="00776FC3"/>
    <w:rPr>
      <w:rFonts w:ascii="Times New Roman" w:hAnsi="Times New Roman" w:cs="Times New Roman"/>
      <w:sz w:val="24"/>
      <w:szCs w:val="24"/>
    </w:rPr>
  </w:style>
  <w:style w:type="character" w:styleId="Collegamentoipertestuale">
    <w:name w:val="Hyperlink"/>
    <w:basedOn w:val="Carpredefinitoparagrafo"/>
    <w:uiPriority w:val="99"/>
    <w:unhideWhenUsed/>
    <w:rsid w:val="00776FC3"/>
    <w:rPr>
      <w:color w:val="467886" w:themeColor="hyperlink"/>
      <w:u w:val="single"/>
    </w:rPr>
  </w:style>
  <w:style w:type="character" w:styleId="Menzionenonrisolta">
    <w:name w:val="Unresolved Mention"/>
    <w:basedOn w:val="Carpredefinitoparagrafo"/>
    <w:uiPriority w:val="99"/>
    <w:semiHidden/>
    <w:unhideWhenUsed/>
    <w:rsid w:val="00776F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621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mase.gov.it/portale/documents/d/guest/m_amte-mase-spc_registro_decreti_r_-0000013-12-02-2026-pdf"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1</Pages>
  <Words>1131</Words>
  <Characters>6447</Characters>
  <Application>Microsoft Office Word</Application>
  <DocSecurity>0</DocSecurity>
  <Lines>53</Lines>
  <Paragraphs>15</Paragraphs>
  <ScaleCrop>false</ScaleCrop>
  <HeadingPairs>
    <vt:vector size="4" baseType="variant">
      <vt:variant>
        <vt:lpstr>Titolo</vt:lpstr>
      </vt:variant>
      <vt:variant>
        <vt:i4>1</vt:i4>
      </vt:variant>
      <vt:variant>
        <vt:lpstr>Intestazioni</vt:lpstr>
      </vt:variant>
      <vt:variant>
        <vt:i4>3</vt:i4>
      </vt:variant>
    </vt:vector>
  </HeadingPairs>
  <TitlesOfParts>
    <vt:vector size="4" baseType="lpstr">
      <vt:lpstr/>
      <vt:lpstr>    5.Dati su riqualificazione con bonus fiscali (Sismabonus e Superbonus)</vt:lpstr>
      <vt:lpstr>    </vt:lpstr>
      <vt:lpstr>        Superbonus 110% (2020–2024) — dati ENEA</vt:lpstr>
    </vt:vector>
  </TitlesOfParts>
  <Company/>
  <LinksUpToDate>false</LinksUpToDate>
  <CharactersWithSpaces>7563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Massoni Marco</dc:creator>
  <cp:keywords/>
  <dc:description/>
  <cp:lastModifiedBy>paola maria marone</cp:lastModifiedBy>
  <cp:revision>4</cp:revision>
  <dcterms:created xsi:type="dcterms:W3CDTF">2026-03-20T16:02:00Z</dcterms:created>
  <dcterms:modified xsi:type="dcterms:W3CDTF">2026-03-21T19:48:00Z</dcterms:modified>
</cp:coreProperties>
</file>