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9D7A7" w14:textId="77777777" w:rsidR="00291047" w:rsidRPr="00291047" w:rsidRDefault="00291047" w:rsidP="00291047">
      <w:pPr>
        <w:spacing w:after="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1047">
        <w:rPr>
          <w:rFonts w:ascii="Calibri" w:hAnsi="Calibri" w:cs="Calibri"/>
          <w:b/>
          <w:bCs/>
          <w:sz w:val="24"/>
          <w:szCs w:val="24"/>
        </w:rPr>
        <w:t>STRATEGIE DEI COMUNI PER L’EFFICIENTAMENTO ENERGETICO:</w:t>
      </w:r>
    </w:p>
    <w:p w14:paraId="57B7E769" w14:textId="77777777" w:rsidR="00291047" w:rsidRPr="00291047" w:rsidRDefault="00291047" w:rsidP="00291047">
      <w:pPr>
        <w:spacing w:after="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1047">
        <w:rPr>
          <w:rFonts w:ascii="Calibri" w:hAnsi="Calibri" w:cs="Calibri"/>
          <w:b/>
          <w:bCs/>
          <w:sz w:val="24"/>
          <w:szCs w:val="24"/>
        </w:rPr>
        <w:t>PARTENARIATO PUBBLICO-PRIVATO E CONTO TERMICO</w:t>
      </w:r>
    </w:p>
    <w:p w14:paraId="2BD3AB92" w14:textId="5A35A997" w:rsidR="00291047" w:rsidRPr="00291047" w:rsidRDefault="00291047" w:rsidP="00291047">
      <w:pPr>
        <w:spacing w:after="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1047">
        <w:rPr>
          <w:rFonts w:ascii="Calibri" w:hAnsi="Calibri" w:cs="Calibri"/>
          <w:b/>
          <w:bCs/>
          <w:sz w:val="24"/>
          <w:szCs w:val="24"/>
        </w:rPr>
        <w:t xml:space="preserve">Intervento della Presidente </w:t>
      </w:r>
      <w:proofErr w:type="spellStart"/>
      <w:r w:rsidRPr="00291047">
        <w:rPr>
          <w:rFonts w:ascii="Calibri" w:hAnsi="Calibri" w:cs="Calibri"/>
          <w:b/>
          <w:bCs/>
          <w:sz w:val="24"/>
          <w:szCs w:val="24"/>
        </w:rPr>
        <w:t>Antial</w:t>
      </w:r>
      <w:proofErr w:type="spellEnd"/>
      <w:r w:rsidRPr="00291047">
        <w:rPr>
          <w:rFonts w:ascii="Calibri" w:hAnsi="Calibri" w:cs="Calibri"/>
          <w:b/>
          <w:bCs/>
          <w:sz w:val="24"/>
          <w:szCs w:val="24"/>
        </w:rPr>
        <w:t>, Paola Marone</w:t>
      </w:r>
    </w:p>
    <w:p w14:paraId="337C345F" w14:textId="65FE0E0C" w:rsidR="00291047" w:rsidRPr="00291047" w:rsidRDefault="00291047" w:rsidP="00291047">
      <w:pPr>
        <w:spacing w:after="0"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1047">
        <w:rPr>
          <w:rFonts w:ascii="Calibri" w:hAnsi="Calibri" w:cs="Calibri"/>
          <w:b/>
          <w:bCs/>
          <w:sz w:val="24"/>
          <w:szCs w:val="24"/>
        </w:rPr>
        <w:t>Napoli, 13 febbraio 2026</w:t>
      </w:r>
    </w:p>
    <w:p w14:paraId="7269D288" w14:textId="77777777" w:rsidR="00291047" w:rsidRDefault="00291047" w:rsidP="00291047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799"/>
        <w:gridCol w:w="7829"/>
      </w:tblGrid>
      <w:tr w:rsidR="00291047" w:rsidRPr="00291047" w14:paraId="1C463688" w14:textId="77777777" w:rsidTr="00AC2C1E">
        <w:tc>
          <w:tcPr>
            <w:tcW w:w="1799" w:type="dxa"/>
          </w:tcPr>
          <w:p w14:paraId="08869BF8" w14:textId="06BA8ABB" w:rsidR="00291047" w:rsidRPr="00291047" w:rsidRDefault="00291047" w:rsidP="00291047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91047">
              <w:rPr>
                <w:rFonts w:ascii="Calibri" w:hAnsi="Calibri" w:cs="Calibri"/>
                <w:b/>
                <w:bCs/>
                <w:sz w:val="24"/>
                <w:szCs w:val="24"/>
              </w:rPr>
              <w:t>SALUTI</w:t>
            </w:r>
          </w:p>
        </w:tc>
        <w:tc>
          <w:tcPr>
            <w:tcW w:w="7829" w:type="dxa"/>
          </w:tcPr>
          <w:p w14:paraId="3725FA5F" w14:textId="77777777" w:rsidR="00291047" w:rsidRPr="00291047" w:rsidRDefault="00291047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91047">
              <w:rPr>
                <w:rFonts w:ascii="Calibri" w:hAnsi="Calibri" w:cs="Calibri"/>
                <w:sz w:val="24"/>
                <w:szCs w:val="24"/>
              </w:rPr>
              <w:t>Buongiorno a tutti,</w:t>
            </w:r>
          </w:p>
          <w:p w14:paraId="5387AE2A" w14:textId="662FC6DC" w:rsidR="00291047" w:rsidRPr="00291047" w:rsidRDefault="00291047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91047">
              <w:rPr>
                <w:rFonts w:ascii="Calibri" w:hAnsi="Calibri" w:cs="Calibri"/>
                <w:sz w:val="24"/>
                <w:szCs w:val="24"/>
              </w:rPr>
              <w:t>desidero innanzitutto ringraziare l’Ordine degli Ingegneri di Napoli e gli organizzatori per l’invito e per aver promosso un momento di confronto su temi di grande attualità e rilevanza strategica per il Paese e per i territori.</w:t>
            </w:r>
          </w:p>
          <w:p w14:paraId="173151A9" w14:textId="4C3FE824" w:rsidR="00291047" w:rsidRDefault="00291047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9104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Porto il saluto di </w:t>
            </w:r>
            <w:proofErr w:type="spellStart"/>
            <w:r w:rsidRPr="00291047">
              <w:rPr>
                <w:rFonts w:ascii="Calibri" w:hAnsi="Calibri" w:cs="Calibri"/>
                <w:b/>
                <w:bCs/>
                <w:sz w:val="24"/>
                <w:szCs w:val="24"/>
              </w:rPr>
              <w:t>Antial</w:t>
            </w:r>
            <w:proofErr w:type="spellEnd"/>
            <w:r w:rsidRPr="00291047">
              <w:rPr>
                <w:rFonts w:ascii="Calibri" w:hAnsi="Calibri" w:cs="Calibri"/>
                <w:sz w:val="24"/>
                <w:szCs w:val="24"/>
              </w:rPr>
              <w:t xml:space="preserve"> – Associazione Nazionale Tecnologi, Ingegneri e Architetti del Legno, realtà che riunisce competenze professionali e tecniche lungo l’intera filiera delle costruzioni in legno e dei materiali innovativi, e che opera in stretto raccordo con </w:t>
            </w:r>
            <w:proofErr w:type="gramStart"/>
            <w:r w:rsidRPr="00291047">
              <w:rPr>
                <w:rFonts w:ascii="Calibri" w:hAnsi="Calibri" w:cs="Calibri"/>
                <w:sz w:val="24"/>
                <w:szCs w:val="24"/>
              </w:rPr>
              <w:t>FederlegnoArredo</w:t>
            </w:r>
            <w:proofErr w:type="gramEnd"/>
            <w:r w:rsidRPr="00291047">
              <w:rPr>
                <w:rFonts w:ascii="Calibri" w:hAnsi="Calibri" w:cs="Calibri"/>
                <w:sz w:val="24"/>
                <w:szCs w:val="24"/>
              </w:rPr>
              <w:t xml:space="preserve">, di cui </w:t>
            </w:r>
            <w:proofErr w:type="spellStart"/>
            <w:r w:rsidRPr="00291047">
              <w:rPr>
                <w:rFonts w:ascii="Calibri" w:hAnsi="Calibri" w:cs="Calibri"/>
                <w:sz w:val="24"/>
                <w:szCs w:val="24"/>
              </w:rPr>
              <w:t>Antial</w:t>
            </w:r>
            <w:proofErr w:type="spellEnd"/>
            <w:r w:rsidRPr="00291047">
              <w:rPr>
                <w:rFonts w:ascii="Calibri" w:hAnsi="Calibri" w:cs="Calibri"/>
                <w:sz w:val="24"/>
                <w:szCs w:val="24"/>
              </w:rPr>
              <w:t xml:space="preserve"> è socia</w:t>
            </w:r>
            <w:r w:rsidR="008A2F28">
              <w:rPr>
                <w:rFonts w:ascii="Calibri" w:hAnsi="Calibri" w:cs="Calibri"/>
                <w:sz w:val="24"/>
                <w:szCs w:val="24"/>
              </w:rPr>
              <w:t>, e con cui condivide l’impegno per l’innovazione e la qualità del costruire</w:t>
            </w:r>
            <w:r w:rsidRPr="00291047"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48F8885F" w14:textId="77777777" w:rsidR="008A2F28" w:rsidRPr="00291047" w:rsidRDefault="008A2F28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2F1A3A95" w14:textId="29D56A48" w:rsidR="00291047" w:rsidRPr="00291047" w:rsidRDefault="00291047" w:rsidP="00291047">
            <w:pPr>
              <w:spacing w:after="160"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91047">
              <w:rPr>
                <w:rFonts w:ascii="Calibri" w:hAnsi="Calibri" w:cs="Calibri"/>
                <w:sz w:val="24"/>
                <w:szCs w:val="24"/>
              </w:rPr>
              <w:t>Una collocazione che ci consente di mantenere uno sguardo integrato tra progettazione, produzione, cantiere e gestione dell’opera.</w:t>
            </w:r>
          </w:p>
        </w:tc>
      </w:tr>
      <w:tr w:rsidR="00291047" w:rsidRPr="00291047" w14:paraId="462FA593" w14:textId="77777777" w:rsidTr="00AC2C1E">
        <w:tc>
          <w:tcPr>
            <w:tcW w:w="1799" w:type="dxa"/>
          </w:tcPr>
          <w:p w14:paraId="13730D45" w14:textId="1A3B2A72" w:rsidR="00291047" w:rsidRPr="00291047" w:rsidRDefault="00291047" w:rsidP="00291047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91047">
              <w:rPr>
                <w:rFonts w:ascii="Calibri" w:hAnsi="Calibri" w:cs="Calibri"/>
                <w:b/>
                <w:bCs/>
                <w:sz w:val="24"/>
                <w:szCs w:val="24"/>
              </w:rPr>
              <w:t>Chi è ANTIAL</w:t>
            </w:r>
          </w:p>
        </w:tc>
        <w:tc>
          <w:tcPr>
            <w:tcW w:w="7829" w:type="dxa"/>
          </w:tcPr>
          <w:p w14:paraId="4AF7CD49" w14:textId="77777777" w:rsidR="00291047" w:rsidRDefault="00291047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91047">
              <w:rPr>
                <w:rFonts w:ascii="Calibri" w:hAnsi="Calibri" w:cs="Calibri"/>
                <w:sz w:val="24"/>
                <w:szCs w:val="24"/>
              </w:rPr>
              <w:t>ANTIAL è l’Associazione Nazionale di riferimento per i Professionisti e i Tecnici che operano nel settore delle costruzioni in legno. L'Associazione nasce con lo scopo di tutelare e valorizzare gli interessi professionali, culturali, economici e tecnici degli Associati, anche nei confronti di terzi, nonché accrescere la professionalità degli Associati con riferimento alla qualità del servizio professionale svolto nei confronti dei propri clienti.</w:t>
            </w:r>
          </w:p>
          <w:p w14:paraId="3FD0BEAC" w14:textId="7923B4FA" w:rsidR="00291047" w:rsidRPr="00291047" w:rsidRDefault="00291047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91047" w:rsidRPr="00291047" w14:paraId="2C5FD68B" w14:textId="77777777" w:rsidTr="00AC2C1E">
        <w:tc>
          <w:tcPr>
            <w:tcW w:w="1799" w:type="dxa"/>
          </w:tcPr>
          <w:p w14:paraId="5DC7B78F" w14:textId="77777777" w:rsidR="00291047" w:rsidRPr="00291047" w:rsidRDefault="00291047" w:rsidP="00291047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7829" w:type="dxa"/>
          </w:tcPr>
          <w:p w14:paraId="70B3E001" w14:textId="77777777" w:rsidR="00AC2C1E" w:rsidRDefault="00291047" w:rsidP="008A2F28">
            <w:pPr>
              <w:spacing w:line="276" w:lineRule="auto"/>
              <w:jc w:val="both"/>
            </w:pPr>
            <w:r w:rsidRPr="00291047">
              <w:rPr>
                <w:rFonts w:ascii="Calibri" w:hAnsi="Calibri" w:cs="Calibri"/>
                <w:sz w:val="24"/>
                <w:szCs w:val="24"/>
              </w:rPr>
              <w:t>Il tema dell’efficientamento energetico del patrimonio pubblico, affrontato oggi anche sotto il profilo del partenariato pubblico-privato e degli strumenti di incentivazione come il Conto Termico, interpella direttamente il mondo delle costruzioni e delle professioni tecniche</w:t>
            </w:r>
            <w:r w:rsidR="008A2F28">
              <w:rPr>
                <w:rFonts w:ascii="Calibri" w:hAnsi="Calibri" w:cs="Calibri"/>
                <w:sz w:val="24"/>
                <w:szCs w:val="24"/>
              </w:rPr>
              <w:t xml:space="preserve"> e</w:t>
            </w:r>
            <w:r w:rsidR="008A2F28">
              <w:t xml:space="preserve"> richiede oggi strumenti capaci di coniugare visione strategica, sostenibilità economica e qualità tecnica. </w:t>
            </w:r>
          </w:p>
          <w:p w14:paraId="3AF37B05" w14:textId="0BA915BE" w:rsidR="008A2F28" w:rsidRDefault="008A2F28" w:rsidP="008A2F28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t xml:space="preserve">In questo senso, il </w:t>
            </w:r>
            <w:r>
              <w:rPr>
                <w:rStyle w:val="Enfasigrassetto"/>
              </w:rPr>
              <w:t xml:space="preserve">Partenariato </w:t>
            </w:r>
            <w:r w:rsidRPr="00AC2C1E">
              <w:rPr>
                <w:rStyle w:val="Enfasigrassetto"/>
              </w:rPr>
              <w:t>Pubblico-Privato</w:t>
            </w:r>
            <w:r w:rsidRPr="00AC2C1E">
              <w:rPr>
                <w:b/>
                <w:bCs/>
              </w:rPr>
              <w:t xml:space="preserve"> rappresenta una leva sempre più rilevante, a condizione che sia utilizzato come</w:t>
            </w:r>
            <w:r>
              <w:t xml:space="preserve"> </w:t>
            </w:r>
            <w:r>
              <w:rPr>
                <w:rStyle w:val="Enfasigrassetto"/>
              </w:rPr>
              <w:t>modello strutturato di cooperazione</w:t>
            </w:r>
            <w:r>
              <w:t>, e non come risposta contingente alla carenza di risorse.</w:t>
            </w:r>
          </w:p>
          <w:p w14:paraId="3412918F" w14:textId="77777777" w:rsidR="00291047" w:rsidRPr="00291047" w:rsidRDefault="00291047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4766EB6C" w14:textId="25FA2339" w:rsidR="00291047" w:rsidRDefault="00291047" w:rsidP="00291047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91047">
              <w:rPr>
                <w:rFonts w:ascii="Calibri" w:hAnsi="Calibri" w:cs="Calibri"/>
                <w:b/>
                <w:bCs/>
                <w:sz w:val="24"/>
                <w:szCs w:val="24"/>
              </w:rPr>
              <w:t>Alcuni dati aiutano a inquadrare la portata della sfida</w:t>
            </w:r>
            <w:r w:rsidR="008A2F2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e confermano la necessità di un approccio sistemico</w:t>
            </w:r>
            <w:r w:rsidR="0059531A">
              <w:rPr>
                <w:rFonts w:ascii="Calibri" w:hAnsi="Calibri" w:cs="Calibri"/>
                <w:b/>
                <w:bCs/>
                <w:sz w:val="24"/>
                <w:szCs w:val="24"/>
              </w:rPr>
              <w:t>.</w:t>
            </w:r>
          </w:p>
          <w:p w14:paraId="4A289171" w14:textId="77777777" w:rsidR="00AC2C1E" w:rsidRPr="00291047" w:rsidRDefault="00AC2C1E" w:rsidP="00291047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2626B38" w14:textId="77777777" w:rsidR="00291047" w:rsidRDefault="00291047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291047">
              <w:rPr>
                <w:rFonts w:ascii="Calibri" w:hAnsi="Calibri" w:cs="Calibri"/>
                <w:b/>
                <w:bCs/>
                <w:sz w:val="24"/>
                <w:szCs w:val="24"/>
              </w:rPr>
              <w:t>Secondo ENEA, circa il 60% degli edifici pubblici italiani è stato realizzato prima del 1980, quindi prima dell’introduzione di criteri energetici strutturati</w:t>
            </w:r>
            <w:r w:rsidRPr="00291047">
              <w:rPr>
                <w:rFonts w:ascii="Calibri" w:hAnsi="Calibri" w:cs="Calibri"/>
                <w:sz w:val="24"/>
                <w:szCs w:val="24"/>
              </w:rPr>
              <w:t xml:space="preserve">; inoltre, </w:t>
            </w:r>
            <w:r w:rsidRPr="00291047">
              <w:rPr>
                <w:rFonts w:ascii="Calibri" w:hAnsi="Calibri" w:cs="Calibri"/>
                <w:b/>
                <w:bCs/>
                <w:sz w:val="24"/>
                <w:szCs w:val="24"/>
              </w:rPr>
              <w:t>il settore edilizio è responsabile di oltre il 40% dei consumi energetici</w:t>
            </w:r>
            <w:r w:rsidRPr="00291047">
              <w:rPr>
                <w:rFonts w:ascii="Calibri" w:hAnsi="Calibri" w:cs="Calibri"/>
                <w:sz w:val="24"/>
                <w:szCs w:val="24"/>
              </w:rPr>
              <w:t xml:space="preserve"> finali e </w:t>
            </w:r>
            <w:r w:rsidRPr="00291047">
              <w:rPr>
                <w:rFonts w:ascii="Calibri" w:hAnsi="Calibri" w:cs="Calibri"/>
                <w:b/>
                <w:bCs/>
                <w:sz w:val="24"/>
                <w:szCs w:val="24"/>
              </w:rPr>
              <w:t>di circa un terzo delle emissioni climalteranti a livello europeo</w:t>
            </w:r>
            <w:r w:rsidRPr="00291047">
              <w:rPr>
                <w:rFonts w:ascii="Calibri" w:hAnsi="Calibri" w:cs="Calibri"/>
                <w:sz w:val="24"/>
                <w:szCs w:val="24"/>
              </w:rPr>
              <w:t xml:space="preserve"> (fonte: Commissione UE).</w:t>
            </w:r>
          </w:p>
          <w:p w14:paraId="2E034757" w14:textId="77777777" w:rsidR="008A2F28" w:rsidRPr="00291047" w:rsidRDefault="008A2F28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48A8AA33" w14:textId="58BC17FB" w:rsidR="00291047" w:rsidRDefault="008A2F28" w:rsidP="00291047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8A2F28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 xml:space="preserve">Intervenire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quindi </w:t>
            </w:r>
            <w:r w:rsidRPr="008A2F28">
              <w:rPr>
                <w:rFonts w:ascii="Calibri" w:hAnsi="Calibri" w:cs="Calibri"/>
                <w:b/>
                <w:bCs/>
                <w:sz w:val="24"/>
                <w:szCs w:val="24"/>
              </w:rPr>
              <w:t>su questo patrimonio significa incidere in modo diretto sugli obiettivi climatici, ma anche sulla qualità dei servizi pubblici e sulla spesa corrente degli enti locali.</w:t>
            </w:r>
          </w:p>
          <w:p w14:paraId="31D9A74F" w14:textId="77777777" w:rsidR="008A2F28" w:rsidRDefault="008A2F28" w:rsidP="00291047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50043F49" w14:textId="28DC74CD" w:rsidR="008A2F28" w:rsidRPr="00291047" w:rsidRDefault="008A2F28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A2F28">
              <w:rPr>
                <w:rFonts w:ascii="Calibri" w:hAnsi="Calibri" w:cs="Calibri"/>
                <w:sz w:val="24"/>
                <w:szCs w:val="24"/>
              </w:rPr>
              <w:t>In questo quadro, il Conto Termico, oggi nella sua evoluzione Conto Termico 3.0, assume un ruolo particolarmente significativo.</w:t>
            </w:r>
          </w:p>
          <w:p w14:paraId="186BCCD2" w14:textId="5FF67FAC" w:rsidR="008A2F28" w:rsidRDefault="008A2F28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A2F28">
              <w:rPr>
                <w:rFonts w:ascii="Calibri" w:hAnsi="Calibri" w:cs="Calibri"/>
                <w:sz w:val="24"/>
                <w:szCs w:val="24"/>
              </w:rPr>
              <w:t xml:space="preserve">I dati del </w:t>
            </w:r>
            <w:r w:rsidRPr="008A2F28">
              <w:rPr>
                <w:rFonts w:ascii="Calibri" w:hAnsi="Calibri" w:cs="Calibri"/>
                <w:b/>
                <w:bCs/>
                <w:sz w:val="24"/>
                <w:szCs w:val="24"/>
              </w:rPr>
              <w:t>GSE</w:t>
            </w:r>
            <w:r w:rsidRPr="008A2F28">
              <w:rPr>
                <w:rFonts w:ascii="Calibri" w:hAnsi="Calibri" w:cs="Calibri"/>
                <w:sz w:val="24"/>
                <w:szCs w:val="24"/>
              </w:rPr>
              <w:t xml:space="preserve"> indicano che, dalla sua introduzione, lo strumento ha finanziato </w:t>
            </w:r>
            <w:r w:rsidRPr="008A2F28">
              <w:rPr>
                <w:rFonts w:ascii="Calibri" w:hAnsi="Calibri" w:cs="Calibri"/>
                <w:b/>
                <w:bCs/>
                <w:sz w:val="24"/>
                <w:szCs w:val="24"/>
              </w:rPr>
              <w:t>decine di migliaia di interventi</w:t>
            </w:r>
            <w:r w:rsidRPr="008A2F28">
              <w:rPr>
                <w:rFonts w:ascii="Calibri" w:hAnsi="Calibri" w:cs="Calibri"/>
                <w:sz w:val="24"/>
                <w:szCs w:val="24"/>
              </w:rPr>
              <w:t xml:space="preserve"> su edifici pubblici, soprattutto per la riqualificazione energetica e l’integrazione di fonti rinnovabili</w:t>
            </w:r>
            <w:r w:rsidR="00AC2C1E">
              <w:rPr>
                <w:rFonts w:ascii="Calibri" w:hAnsi="Calibri" w:cs="Calibri"/>
                <w:sz w:val="24"/>
                <w:szCs w:val="24"/>
              </w:rPr>
              <w:t xml:space="preserve"> termiche</w:t>
            </w:r>
            <w:r w:rsidRPr="008A2F28">
              <w:rPr>
                <w:rFonts w:ascii="Calibri" w:hAnsi="Calibri" w:cs="Calibri"/>
                <w:sz w:val="24"/>
                <w:szCs w:val="24"/>
              </w:rPr>
              <w:t>, con tempi di accesso e di erogazione che lo rendono particolarmente adatto alle esigenze dei Comuni.</w:t>
            </w:r>
          </w:p>
          <w:p w14:paraId="4104EF9B" w14:textId="7A9D5F37" w:rsidR="00291047" w:rsidRDefault="008A2F28" w:rsidP="0029104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B340A">
              <w:rPr>
                <w:rFonts w:ascii="Calibri" w:hAnsi="Calibri" w:cs="Calibri"/>
                <w:b/>
                <w:bCs/>
                <w:sz w:val="24"/>
                <w:szCs w:val="24"/>
              </w:rPr>
              <w:t>La nuova fase del Conto Termico</w:t>
            </w:r>
            <w:r w:rsidRPr="008A2F28">
              <w:rPr>
                <w:rFonts w:ascii="Calibri" w:hAnsi="Calibri" w:cs="Calibri"/>
                <w:sz w:val="24"/>
                <w:szCs w:val="24"/>
              </w:rPr>
              <w:t xml:space="preserve"> può rappresentare un elemento di </w:t>
            </w:r>
            <w:r w:rsidRPr="008A2F28">
              <w:rPr>
                <w:rFonts w:ascii="Calibri" w:hAnsi="Calibri" w:cs="Calibri"/>
                <w:b/>
                <w:bCs/>
                <w:sz w:val="24"/>
                <w:szCs w:val="24"/>
              </w:rPr>
              <w:t>integrazione virtuosa</w:t>
            </w:r>
            <w:r w:rsidRPr="008A2F28">
              <w:rPr>
                <w:rFonts w:ascii="Calibri" w:hAnsi="Calibri" w:cs="Calibri"/>
                <w:sz w:val="24"/>
                <w:szCs w:val="24"/>
              </w:rPr>
              <w:t xml:space="preserve"> nei modelli di PPP, contribuendo a migliorare l’equilibrio economico-finanziario degli interventi e a ridurre il profilo di rischio per le amministrazioni.</w:t>
            </w:r>
          </w:p>
          <w:p w14:paraId="51D9D226" w14:textId="79C287C0" w:rsidR="00291047" w:rsidRPr="00291047" w:rsidRDefault="00291047" w:rsidP="006B340A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2C1E" w:rsidRPr="00291047" w14:paraId="1B1B1EBE" w14:textId="77777777" w:rsidTr="00AC2C1E">
        <w:tc>
          <w:tcPr>
            <w:tcW w:w="1799" w:type="dxa"/>
          </w:tcPr>
          <w:p w14:paraId="397CD2EC" w14:textId="3B2441A8" w:rsidR="00AC2C1E" w:rsidRPr="00291047" w:rsidRDefault="00AC2C1E" w:rsidP="00291047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 xml:space="preserve">Il </w:t>
            </w:r>
            <w:r w:rsidRPr="008A2F28">
              <w:rPr>
                <w:rFonts w:ascii="Calibri" w:hAnsi="Calibri" w:cs="Calibri"/>
                <w:b/>
                <w:bCs/>
                <w:sz w:val="24"/>
                <w:szCs w:val="24"/>
              </w:rPr>
              <w:t>ruolo dei Comuni</w:t>
            </w:r>
          </w:p>
        </w:tc>
        <w:tc>
          <w:tcPr>
            <w:tcW w:w="7829" w:type="dxa"/>
          </w:tcPr>
          <w:p w14:paraId="1F9BDF10" w14:textId="77777777" w:rsid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A2F28">
              <w:rPr>
                <w:rFonts w:ascii="Calibri" w:hAnsi="Calibri" w:cs="Calibri"/>
                <w:sz w:val="24"/>
                <w:szCs w:val="24"/>
              </w:rPr>
              <w:t xml:space="preserve">Il </w:t>
            </w:r>
            <w:r w:rsidRPr="008A2F28">
              <w:rPr>
                <w:rFonts w:ascii="Calibri" w:hAnsi="Calibri" w:cs="Calibri"/>
                <w:b/>
                <w:bCs/>
                <w:sz w:val="24"/>
                <w:szCs w:val="24"/>
              </w:rPr>
              <w:t>ruolo dei Comuni</w:t>
            </w:r>
            <w:r w:rsidRPr="008A2F28">
              <w:rPr>
                <w:rFonts w:ascii="Calibri" w:hAnsi="Calibri" w:cs="Calibri"/>
                <w:sz w:val="24"/>
                <w:szCs w:val="24"/>
              </w:rPr>
              <w:t xml:space="preserve"> è quindi centrale. Non solo come soggetti beneficiari degli incentivi, ma come </w:t>
            </w:r>
            <w:r w:rsidRPr="008A2F28">
              <w:rPr>
                <w:rFonts w:ascii="Calibri" w:hAnsi="Calibri" w:cs="Calibri"/>
                <w:b/>
                <w:bCs/>
                <w:sz w:val="24"/>
                <w:szCs w:val="24"/>
              </w:rPr>
              <w:t>attori di programmazione</w:t>
            </w:r>
            <w:r w:rsidRPr="008A2F28">
              <w:rPr>
                <w:rFonts w:ascii="Calibri" w:hAnsi="Calibri" w:cs="Calibri"/>
                <w:sz w:val="24"/>
                <w:szCs w:val="24"/>
              </w:rPr>
              <w:t>, chiamati a definire priorità, obiettivi prestazionali e criteri di qualità degli interventi.</w:t>
            </w:r>
          </w:p>
          <w:p w14:paraId="39C93B3C" w14:textId="77777777" w:rsidR="00AC2C1E" w:rsidRPr="008A2F28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A2F28">
              <w:rPr>
                <w:rFonts w:ascii="Calibri" w:hAnsi="Calibri" w:cs="Calibri"/>
                <w:sz w:val="24"/>
                <w:szCs w:val="24"/>
              </w:rPr>
              <w:t>Un Comune consapevole, supportato da competenze tecniche adeguate, è in grado di orientare il partenariato verso soluzioni realmente efficienti, durature e coerenti con le esigenze del territorio.</w:t>
            </w:r>
          </w:p>
          <w:p w14:paraId="04B47C8F" w14:textId="77777777" w:rsidR="00AC2C1E" w:rsidRPr="008A2F28" w:rsidRDefault="00AC2C1E" w:rsidP="008A2F28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2C1E" w:rsidRPr="00291047" w14:paraId="2E9A0CF3" w14:textId="77777777" w:rsidTr="00AC2C1E">
        <w:tc>
          <w:tcPr>
            <w:tcW w:w="1799" w:type="dxa"/>
          </w:tcPr>
          <w:p w14:paraId="7BE8B1BA" w14:textId="5246CF6A" w:rsidR="00AC2C1E" w:rsidRPr="00AC2C1E" w:rsidRDefault="00AC2C1E" w:rsidP="003B45A6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Le opportunità del Conto Termico 3.0 per i Comuni</w:t>
            </w:r>
          </w:p>
        </w:tc>
        <w:tc>
          <w:tcPr>
            <w:tcW w:w="7829" w:type="dxa"/>
          </w:tcPr>
          <w:p w14:paraId="5743C64D" w14:textId="77777777" w:rsid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sz w:val="24"/>
                <w:szCs w:val="24"/>
              </w:rPr>
              <w:t xml:space="preserve">In questo quadro, il Conto Termico 3.0 non è un semplice incentivo, ma uno strumento di trasformazione urbana. </w:t>
            </w:r>
          </w:p>
          <w:p w14:paraId="377E784D" w14:textId="21947471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Le nuove Regole Applicative introducono una spinta senza precedenti per i Comuni:</w:t>
            </w:r>
          </w:p>
          <w:p w14:paraId="09D9E0B1" w14:textId="77777777" w:rsidR="00AC2C1E" w:rsidRPr="00AC2C1E" w:rsidRDefault="00AC2C1E" w:rsidP="00AC2C1E">
            <w:pPr>
              <w:numPr>
                <w:ilvl w:val="0"/>
                <w:numId w:val="1"/>
              </w:numPr>
              <w:spacing w:line="276" w:lineRule="auto"/>
              <w:ind w:left="50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Incentivi al 100%: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Per i Comuni con popolazione fino a 15.000 abitanti, lo strumento copre oggi fino al 100% delle spese ammissibili per interventi su edifici di proprietà comunale.</w:t>
            </w:r>
          </w:p>
          <w:p w14:paraId="068D9B0E" w14:textId="77777777" w:rsidR="00AC2C1E" w:rsidRPr="00AC2C1E" w:rsidRDefault="00AC2C1E" w:rsidP="00AC2C1E">
            <w:pPr>
              <w:numPr>
                <w:ilvl w:val="0"/>
                <w:numId w:val="1"/>
              </w:numPr>
              <w:spacing w:line="276" w:lineRule="auto"/>
              <w:ind w:left="50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Scuole e Ospedali</w:t>
            </w:r>
            <w:r w:rsidRPr="00AC2C1E">
              <w:rPr>
                <w:rFonts w:ascii="Calibri" w:hAnsi="Calibri" w:cs="Calibri"/>
                <w:sz w:val="24"/>
                <w:szCs w:val="24"/>
              </w:rPr>
              <w:t>: Indipendentemente dalla dimensione del Comune, gli interventi su edifici scolastici e strutture sanitarie pubbliche beneficiano della copertura totale dei costi ammissibili, inclusi gli Ospedali e le Case di Comunità.</w:t>
            </w:r>
          </w:p>
          <w:p w14:paraId="5A82DA32" w14:textId="77777777" w:rsidR="00AC2C1E" w:rsidRDefault="00AC2C1E" w:rsidP="003B45A6">
            <w:pPr>
              <w:numPr>
                <w:ilvl w:val="0"/>
                <w:numId w:val="1"/>
              </w:numPr>
              <w:spacing w:line="276" w:lineRule="auto"/>
              <w:ind w:left="504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Premialità per l’industria europea</w:t>
            </w:r>
            <w:r w:rsidRPr="00AC2C1E">
              <w:rPr>
                <w:rFonts w:ascii="Calibri" w:hAnsi="Calibri" w:cs="Calibri"/>
                <w:sz w:val="24"/>
                <w:szCs w:val="24"/>
              </w:rPr>
              <w:t>: È prevista una maggiorazione del 10% dell’incentivo (che comunque non può essere superiore al 100%) per l’utilizzo di componenti prodotti nell’Unione Europea, un segnale forte per la nostra filiera industriale.</w:t>
            </w:r>
          </w:p>
          <w:p w14:paraId="28F73431" w14:textId="37950B56" w:rsidR="00AC2C1E" w:rsidRPr="00AC2C1E" w:rsidRDefault="00AC2C1E" w:rsidP="00AC2C1E">
            <w:pPr>
              <w:spacing w:line="276" w:lineRule="auto"/>
              <w:ind w:left="504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C072DCE" w14:textId="77777777" w:rsidR="00AC2C1E" w:rsidRDefault="00AC2C1E">
      <w:r>
        <w:br w:type="page"/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799"/>
        <w:gridCol w:w="7829"/>
      </w:tblGrid>
      <w:tr w:rsidR="00AC2C1E" w:rsidRPr="00291047" w14:paraId="27AF7049" w14:textId="77777777" w:rsidTr="00AC2C1E">
        <w:tc>
          <w:tcPr>
            <w:tcW w:w="1799" w:type="dxa"/>
          </w:tcPr>
          <w:p w14:paraId="6E5E4329" w14:textId="68F9A3A0" w:rsidR="00AC2C1E" w:rsidRPr="00AC2C1E" w:rsidRDefault="00AC2C1E" w:rsidP="00AC2C1E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 xml:space="preserve">Il PPP come motore operativo </w:t>
            </w:r>
          </w:p>
          <w:p w14:paraId="66EF9540" w14:textId="77777777" w:rsidR="00AC2C1E" w:rsidRPr="00AC2C1E" w:rsidRDefault="00AC2C1E" w:rsidP="003B45A6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7829" w:type="dxa"/>
          </w:tcPr>
          <w:p w14:paraId="09A3DAF8" w14:textId="77777777" w:rsid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Il successo di queste strategie risiede nel modello di cooperazione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. </w:t>
            </w:r>
          </w:p>
          <w:p w14:paraId="0F5F0540" w14:textId="4A751B44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Il Conto Termico 3.0 valorizza finalmente il ruolo del Soggetto Privato nell’ambito del PPP, consentendogli di agire come Soggetto Responsabile.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Questo significa che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l’operatore privato può</w:t>
            </w:r>
            <w:r w:rsidRPr="00AC2C1E">
              <w:rPr>
                <w:rFonts w:ascii="Calibri" w:hAnsi="Calibri" w:cs="Calibri"/>
                <w:sz w:val="24"/>
                <w:szCs w:val="24"/>
              </w:rPr>
              <w:t>:</w:t>
            </w:r>
          </w:p>
          <w:p w14:paraId="4B591090" w14:textId="30960927" w:rsidR="00AC2C1E" w:rsidRPr="00AC2C1E" w:rsidRDefault="00AC2C1E" w:rsidP="00AC2C1E">
            <w:pPr>
              <w:pStyle w:val="Paragrafoelenco"/>
              <w:numPr>
                <w:ilvl w:val="0"/>
                <w:numId w:val="2"/>
              </w:numPr>
              <w:spacing w:line="276" w:lineRule="auto"/>
              <w:ind w:left="355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Sostenere direttamente l’investimento e gestire la richiesta di incentivi al GSE</w:t>
            </w:r>
            <w:r w:rsidRPr="00AC2C1E"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32DD3383" w14:textId="566C26DB" w:rsidR="00AC2C1E" w:rsidRPr="00AC2C1E" w:rsidRDefault="00AC2C1E" w:rsidP="00AC2C1E">
            <w:pPr>
              <w:pStyle w:val="Paragrafoelenco"/>
              <w:numPr>
                <w:ilvl w:val="0"/>
                <w:numId w:val="2"/>
              </w:numPr>
              <w:spacing w:line="276" w:lineRule="auto"/>
              <w:ind w:left="355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Accedere alla procedura di prenotazione,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garantendo al Comune l’impegno delle risorse finanziarie prima ancora dell’avvio dei lavori, migliorando l’equilibrio del Piano Economico Finanziario (PEF).</w:t>
            </w:r>
          </w:p>
          <w:p w14:paraId="6B0E0234" w14:textId="7573F18A" w:rsidR="00AC2C1E" w:rsidRPr="00AC2C1E" w:rsidRDefault="00AC2C1E" w:rsidP="00AC2C1E">
            <w:pPr>
              <w:pStyle w:val="Paragrafoelenco"/>
              <w:numPr>
                <w:ilvl w:val="0"/>
                <w:numId w:val="2"/>
              </w:numPr>
              <w:spacing w:line="276" w:lineRule="auto"/>
              <w:ind w:left="355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Garantire la qualità della gestione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tramite contratti di Energy Performance </w:t>
            </w:r>
            <w:proofErr w:type="spellStart"/>
            <w:r w:rsidRPr="00AC2C1E">
              <w:rPr>
                <w:rFonts w:ascii="Calibri" w:hAnsi="Calibri" w:cs="Calibri"/>
                <w:sz w:val="24"/>
                <w:szCs w:val="24"/>
              </w:rPr>
              <w:t>Contract</w:t>
            </w:r>
            <w:proofErr w:type="spellEnd"/>
            <w:r w:rsidRPr="00AC2C1E">
              <w:rPr>
                <w:rFonts w:ascii="Calibri" w:hAnsi="Calibri" w:cs="Calibri"/>
                <w:sz w:val="24"/>
                <w:szCs w:val="24"/>
              </w:rPr>
              <w:t xml:space="preserve"> (EPC), che devono obbligatoriamente prevedere risparmi energetici verificabili e una durata minima coerente con il mantenimento dei requisiti dell'incentivo.</w:t>
            </w:r>
          </w:p>
          <w:p w14:paraId="103DA353" w14:textId="77777777" w:rsidR="00AC2C1E" w:rsidRPr="00AC2C1E" w:rsidRDefault="00AC2C1E" w:rsidP="003B45A6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2C1E" w:rsidRPr="00291047" w14:paraId="6B5E20DD" w14:textId="77777777" w:rsidTr="00AC2C1E">
        <w:tc>
          <w:tcPr>
            <w:tcW w:w="1799" w:type="dxa"/>
          </w:tcPr>
          <w:p w14:paraId="1EC1E183" w14:textId="61D3E43E" w:rsidR="00AC2C1E" w:rsidRPr="00AC2C1E" w:rsidRDefault="00AC2C1E" w:rsidP="00291047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Collaborazione</w:t>
            </w:r>
          </w:p>
        </w:tc>
        <w:tc>
          <w:tcPr>
            <w:tcW w:w="7829" w:type="dxa"/>
          </w:tcPr>
          <w:p w14:paraId="3C7CDC14" w14:textId="768753A2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sz w:val="24"/>
                <w:szCs w:val="24"/>
              </w:rPr>
              <w:t xml:space="preserve">Da questo punto di vista,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mi ripeto,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la collaborazione tra amministrazioni locali, professionisti e imprese qualificate diventa decisiva.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1D13BF1D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199778D4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La mia esperienza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come costruttrice, come associata Ance da molti anni, e anche alla guida di Federcostruzioni, mi porta a ribadire che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la riuscita dei PPP energetici dipenda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in larga misura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dalla capacità di costruire filiere affidabili, con ruoli chiari, responsabilità definite e una corretta allocazione dei rischi.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La qualità di un intervento nasce infatti da una collaborazione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reale tra amministrazioni, progettisti, imprese e sistema finanziario, fondata su competenze, chiarezza dei ruoli e corretta allocazione dei rischi.</w:t>
            </w:r>
          </w:p>
          <w:p w14:paraId="630326D1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È fondamentale superare approcci frammentati,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favorendo invece modelli industriali evoluti</w:t>
            </w:r>
            <w:r w:rsidRPr="00AC2C1E">
              <w:rPr>
                <w:rFonts w:ascii="Calibri" w:hAnsi="Calibri" w:cs="Calibri"/>
                <w:sz w:val="24"/>
                <w:szCs w:val="24"/>
              </w:rPr>
              <w:t>, capaci di garantire programmazione, tempi certi e risultati misurabili, elementi essenziali anche per rendere attrattivi gli investimenti privati.</w:t>
            </w:r>
          </w:p>
          <w:p w14:paraId="0AF51CE9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7862C938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sz w:val="24"/>
                <w:szCs w:val="24"/>
              </w:rPr>
              <w:t xml:space="preserve">Vi porto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un ultimo dato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in merito al tema dei materiali, in particolare del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legno strutturale</w:t>
            </w:r>
            <w:r w:rsidRPr="00AC2C1E">
              <w:rPr>
                <w:rFonts w:ascii="Calibri" w:hAnsi="Calibri" w:cs="Calibri"/>
                <w:sz w:val="24"/>
                <w:szCs w:val="24"/>
              </w:rPr>
              <w:t>, che consente interventi rapidi, a basso impatto ambientale e con elevate prestazioni energetiche.</w:t>
            </w:r>
          </w:p>
          <w:p w14:paraId="00CE5A7D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sz w:val="24"/>
                <w:szCs w:val="24"/>
              </w:rPr>
              <w:t xml:space="preserve">Secondo i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dati </w:t>
            </w:r>
            <w:proofErr w:type="gramStart"/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FederlegnoArredo</w:t>
            </w:r>
            <w:proofErr w:type="gramEnd"/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ed ENEA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ogni metro cubo di legno impiegato in edilizia consente di immagazzinare mediamente circa una tonnellata di CO₂,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contribuendo in modo concreto agli obiettivi di sostenibilità ambientale.</w:t>
            </w:r>
          </w:p>
          <w:p w14:paraId="0EF5161D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2C1E" w:rsidRPr="00291047" w14:paraId="097D1DAF" w14:textId="77777777" w:rsidTr="00CE7AB7">
        <w:tc>
          <w:tcPr>
            <w:tcW w:w="1799" w:type="dxa"/>
          </w:tcPr>
          <w:p w14:paraId="7D5E5BA4" w14:textId="32FB87EE" w:rsidR="00AC2C1E" w:rsidRPr="00291047" w:rsidRDefault="00AC2C1E" w:rsidP="00CE7AB7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Innovazione nei materiali</w:t>
            </w:r>
          </w:p>
        </w:tc>
        <w:tc>
          <w:tcPr>
            <w:tcW w:w="7829" w:type="dxa"/>
          </w:tcPr>
          <w:p w14:paraId="6C184706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Il ruolo del legno strutturale come </w:t>
            </w:r>
            <w:proofErr w:type="spellStart"/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Antial</w:t>
            </w:r>
            <w:proofErr w:type="spellEnd"/>
            <w:r w:rsidRPr="00AC2C1E">
              <w:rPr>
                <w:rFonts w:ascii="Calibri" w:hAnsi="Calibri" w:cs="Calibri"/>
                <w:sz w:val="24"/>
                <w:szCs w:val="24"/>
              </w:rPr>
              <w:t xml:space="preserve">, sottolineiamo che la riqualificazione profonda, inclusa la trasformazione in edifici </w:t>
            </w:r>
            <w:proofErr w:type="spellStart"/>
            <w:r w:rsidRPr="00AC2C1E">
              <w:rPr>
                <w:rFonts w:ascii="Calibri" w:hAnsi="Calibri" w:cs="Calibri"/>
                <w:sz w:val="24"/>
                <w:szCs w:val="24"/>
              </w:rPr>
              <w:t>nZEB</w:t>
            </w:r>
            <w:proofErr w:type="spellEnd"/>
            <w:r w:rsidRPr="00AC2C1E">
              <w:rPr>
                <w:rFonts w:ascii="Calibri" w:hAnsi="Calibri" w:cs="Calibri"/>
                <w:sz w:val="24"/>
                <w:szCs w:val="24"/>
              </w:rPr>
              <w:t xml:space="preserve"> (a energia quasi zero), trova nel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legno un alleato insostituibile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. Le fonti confermano che per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gli interventi </w:t>
            </w:r>
            <w:proofErr w:type="spellStart"/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nZEB</w:t>
            </w:r>
            <w:proofErr w:type="spellEnd"/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sono ammissibili ampliamenti fino al 25% della volumetria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, ed è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consentita la demolizione e ricostruzione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, anche in sito diverso per la PA nell’ambito dello stesso comune, favorendo una rigenerazione urbana </w:t>
            </w:r>
            <w:r w:rsidRPr="00AC2C1E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sostenibile e circolare.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L’impiego del legno non solo accelera i cantieri, ma permette di raggiungere gli elevati standard di trasmittanza e isolamento richiesti dal Decreto per l'accesso ai massimali di incentivo più alti, che possono arrivare a 2,5 o 3 milioni di euro per singolo edificio.</w:t>
            </w:r>
          </w:p>
          <w:p w14:paraId="27EEA6AE" w14:textId="77777777" w:rsidR="00AC2C1E" w:rsidRDefault="00AC2C1E" w:rsidP="00CE7AB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C2C1E" w:rsidRPr="00291047" w14:paraId="169DBB5F" w14:textId="77777777" w:rsidTr="00CE7AB7">
        <w:tc>
          <w:tcPr>
            <w:tcW w:w="1799" w:type="dxa"/>
          </w:tcPr>
          <w:p w14:paraId="71A75A32" w14:textId="77777777" w:rsidR="00AC2C1E" w:rsidRPr="00AC2C1E" w:rsidRDefault="00AC2C1E" w:rsidP="00AC2C1E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CONCLUSIONI</w:t>
            </w:r>
          </w:p>
          <w:p w14:paraId="1FE86618" w14:textId="77777777" w:rsidR="00AC2C1E" w:rsidRPr="00291047" w:rsidRDefault="00AC2C1E" w:rsidP="00CE7AB7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7829" w:type="dxa"/>
          </w:tcPr>
          <w:p w14:paraId="62901DAB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Antial</w:t>
            </w:r>
            <w:proofErr w:type="spellEnd"/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intende offrire il proprio contributo a questo percorso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mettendo a disposizione competenze tecniche, conoscenza dei materiali e capacità di dialogo tra mondi spesso separati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nella convinzione che l’innovazione, per essere efficace, debba essere prima di tutto governata</w:t>
            </w:r>
            <w:r w:rsidRPr="00AC2C1E"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4DCF0E6C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1B693541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Concludo ringraziando tutti i relatori</w:t>
            </w:r>
            <w:r w:rsidRPr="00AC2C1E">
              <w:rPr>
                <w:rFonts w:ascii="Calibri" w:hAnsi="Calibri" w:cs="Calibri"/>
                <w:sz w:val="24"/>
                <w:szCs w:val="24"/>
              </w:rPr>
              <w:t xml:space="preserve"> e augurando buon lavoro ai partecipanti, </w:t>
            </w:r>
            <w:r w:rsidRPr="00AC2C1E">
              <w:rPr>
                <w:rFonts w:ascii="Calibri" w:hAnsi="Calibri" w:cs="Calibri"/>
                <w:b/>
                <w:bCs/>
                <w:sz w:val="24"/>
                <w:szCs w:val="24"/>
              </w:rPr>
              <w:t>con l’auspicio che il confronto di oggi possa fornire indicazioni operative utili ai Comuni e agli operatori, rafforzando un approccio integrato che veda nel PPP e nel Conto Termico 3.0 strumenti al servizio di una riqualificazione energetica di qualità, tecnicamente solida e sostenibile nel tempo.</w:t>
            </w:r>
          </w:p>
          <w:p w14:paraId="2E2CC74C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14:paraId="06E6696F" w14:textId="77777777" w:rsidR="00AC2C1E" w:rsidRPr="00AC2C1E" w:rsidRDefault="00AC2C1E" w:rsidP="00AC2C1E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AC2C1E">
              <w:rPr>
                <w:rFonts w:ascii="Calibri" w:hAnsi="Calibri" w:cs="Calibri"/>
                <w:sz w:val="24"/>
                <w:szCs w:val="24"/>
              </w:rPr>
              <w:t>Grazie.</w:t>
            </w:r>
          </w:p>
          <w:p w14:paraId="31A15DF1" w14:textId="77777777" w:rsidR="00AC2C1E" w:rsidRDefault="00AC2C1E" w:rsidP="00CE7AB7">
            <w:pPr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30A2E604" w14:textId="77777777" w:rsidR="00291047" w:rsidRDefault="00291047" w:rsidP="00291047"/>
    <w:p w14:paraId="39239015" w14:textId="77777777" w:rsidR="00291047" w:rsidRDefault="00291047" w:rsidP="00291047"/>
    <w:sectPr w:rsidR="00291047" w:rsidSect="00291047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045E89"/>
    <w:multiLevelType w:val="hybridMultilevel"/>
    <w:tmpl w:val="FFFFFFFF"/>
    <w:lvl w:ilvl="0" w:tplc="AF3620D2">
      <w:numFmt w:val="bullet"/>
      <w:lvlText w:val="•"/>
      <w:lvlJc w:val="left"/>
      <w:pPr>
        <w:ind w:left="720" w:hanging="360"/>
      </w:pPr>
      <w:rPr>
        <w:rFonts w:ascii="Aptos" w:eastAsia="Times New Roman" w:hAnsi="Apto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E1171B"/>
    <w:multiLevelType w:val="hybridMultilevel"/>
    <w:tmpl w:val="1CEA8C3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626C5"/>
    <w:multiLevelType w:val="hybridMultilevel"/>
    <w:tmpl w:val="3CA4C8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408521">
    <w:abstractNumId w:val="0"/>
  </w:num>
  <w:num w:numId="2" w16cid:durableId="1746104353">
    <w:abstractNumId w:val="2"/>
  </w:num>
  <w:num w:numId="3" w16cid:durableId="1497846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047"/>
    <w:rsid w:val="001E2CE0"/>
    <w:rsid w:val="00291047"/>
    <w:rsid w:val="0059531A"/>
    <w:rsid w:val="006B340A"/>
    <w:rsid w:val="008A2F28"/>
    <w:rsid w:val="00A33EEF"/>
    <w:rsid w:val="00AC2C1E"/>
    <w:rsid w:val="00D11D7F"/>
    <w:rsid w:val="00D165E7"/>
    <w:rsid w:val="00D45AC7"/>
    <w:rsid w:val="00FC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0FBE"/>
  <w15:chartTrackingRefBased/>
  <w15:docId w15:val="{0C8C9181-68D5-4533-9C18-785716CC6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910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910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910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910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910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910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910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910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910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910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910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910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9104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9104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9104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9104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9104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9104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910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910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910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910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910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9104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9104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9104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910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9104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91047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291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8A2F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87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1247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Massoni Marco</dc:creator>
  <cp:keywords/>
  <dc:description/>
  <cp:lastModifiedBy>Massoni Marco</cp:lastModifiedBy>
  <cp:revision>5</cp:revision>
  <dcterms:created xsi:type="dcterms:W3CDTF">2026-01-29T13:49:00Z</dcterms:created>
  <dcterms:modified xsi:type="dcterms:W3CDTF">2026-02-04T10:00:00Z</dcterms:modified>
</cp:coreProperties>
</file>