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FEDF8" w14:textId="77777777" w:rsidR="00DC3761" w:rsidRDefault="00DC3761" w:rsidP="00DC3761">
      <w:pPr>
        <w:rPr>
          <w:rFonts w:ascii="Avenir Book" w:hAnsi="Avenir Book" w:cs="Arial"/>
          <w:spacing w:val="6"/>
        </w:rPr>
      </w:pPr>
      <w:r>
        <w:rPr>
          <w:rFonts w:ascii="Avenir Book" w:hAnsi="Avenir Book" w:cs="Arial"/>
          <w:spacing w:val="6"/>
        </w:rPr>
        <w:t>Comunicato stampa</w:t>
      </w:r>
    </w:p>
    <w:p w14:paraId="00D8FB4B" w14:textId="77777777" w:rsidR="00DC3761" w:rsidRDefault="00DC3761" w:rsidP="00DC3761">
      <w:pPr>
        <w:rPr>
          <w:rFonts w:ascii="Avenir Book" w:hAnsi="Avenir Book" w:cs="Arial"/>
          <w:spacing w:val="6"/>
        </w:rPr>
      </w:pPr>
    </w:p>
    <w:p w14:paraId="1F2D2891" w14:textId="75B4B634" w:rsidR="00DC3761" w:rsidRDefault="00DC3761" w:rsidP="00DC3761">
      <w:pPr>
        <w:rPr>
          <w:rFonts w:ascii="Avenir Book" w:hAnsi="Avenir Book" w:cs="Arial"/>
          <w:spacing w:val="6"/>
        </w:rPr>
      </w:pPr>
      <w:r>
        <w:rPr>
          <w:rFonts w:ascii="Avenir Book" w:hAnsi="Avenir Book" w:cs="Arial"/>
          <w:spacing w:val="6"/>
        </w:rPr>
        <w:t>Oggetto:</w:t>
      </w:r>
      <w:r w:rsidR="007309CF">
        <w:rPr>
          <w:rFonts w:ascii="Avenir Book" w:hAnsi="Avenir Book" w:cs="Arial"/>
          <w:spacing w:val="6"/>
        </w:rPr>
        <w:t xml:space="preserve"> Bonus Edilizia</w:t>
      </w:r>
    </w:p>
    <w:p w14:paraId="227A159E" w14:textId="3C36F19E" w:rsidR="00DC3761" w:rsidRPr="00DC3761" w:rsidRDefault="00DC3761" w:rsidP="00DC3761">
      <w:pPr>
        <w:rPr>
          <w:rFonts w:ascii="Avenir Book" w:hAnsi="Avenir Book" w:cs="Arial"/>
          <w:spacing w:val="6"/>
        </w:rPr>
      </w:pPr>
      <w:r>
        <w:rPr>
          <w:rFonts w:ascii="Avenir Book" w:hAnsi="Avenir Book" w:cs="Arial"/>
          <w:spacing w:val="6"/>
        </w:rPr>
        <w:t>Data:</w:t>
      </w:r>
      <w:r w:rsidR="007309CF">
        <w:rPr>
          <w:rFonts w:ascii="Avenir Book" w:hAnsi="Avenir Book" w:cs="Arial"/>
          <w:spacing w:val="6"/>
        </w:rPr>
        <w:t xml:space="preserve"> 31 gennaio 2022</w:t>
      </w:r>
    </w:p>
    <w:p w14:paraId="409C1804" w14:textId="77777777" w:rsidR="00DC3761" w:rsidRPr="00DC3761" w:rsidRDefault="00DC3761" w:rsidP="00DC3761">
      <w:pPr>
        <w:rPr>
          <w:rFonts w:ascii="Avenir Book" w:hAnsi="Avenir Book" w:cs="Arial"/>
          <w:spacing w:val="6"/>
        </w:rPr>
      </w:pPr>
    </w:p>
    <w:p w14:paraId="236996DC" w14:textId="705AA176" w:rsidR="007309CF" w:rsidRPr="007309CF" w:rsidRDefault="007309CF" w:rsidP="007309CF">
      <w:pPr>
        <w:rPr>
          <w:rFonts w:ascii="Avenir Book" w:hAnsi="Avenir Book" w:cs="Arial"/>
          <w:b/>
          <w:bCs/>
          <w:spacing w:val="6"/>
          <w:sz w:val="28"/>
          <w:szCs w:val="28"/>
        </w:rPr>
      </w:pPr>
      <w:r w:rsidRPr="007309CF">
        <w:rPr>
          <w:rFonts w:ascii="Avenir Book" w:hAnsi="Avenir Book" w:cs="Arial"/>
          <w:b/>
          <w:bCs/>
          <w:spacing w:val="6"/>
          <w:sz w:val="28"/>
          <w:szCs w:val="28"/>
        </w:rPr>
        <w:t>DL Sostegni e Bonus edilizi, Marone (</w:t>
      </w:r>
      <w:proofErr w:type="spellStart"/>
      <w:r w:rsidRPr="007309CF">
        <w:rPr>
          <w:rFonts w:ascii="Avenir Book" w:hAnsi="Avenir Book" w:cs="Arial"/>
          <w:b/>
          <w:bCs/>
          <w:spacing w:val="6"/>
          <w:sz w:val="28"/>
          <w:szCs w:val="28"/>
        </w:rPr>
        <w:t>Federcostruzioni</w:t>
      </w:r>
      <w:proofErr w:type="spellEnd"/>
      <w:r w:rsidRPr="007309CF">
        <w:rPr>
          <w:rFonts w:ascii="Avenir Book" w:hAnsi="Avenir Book" w:cs="Arial"/>
          <w:b/>
          <w:bCs/>
          <w:spacing w:val="6"/>
          <w:sz w:val="28"/>
          <w:szCs w:val="28"/>
        </w:rPr>
        <w:t>): Con stop a cessione crediti rischio paralisi del mercato</w:t>
      </w:r>
    </w:p>
    <w:p w14:paraId="415A0A1D" w14:textId="77777777" w:rsidR="007309CF" w:rsidRDefault="007309CF" w:rsidP="007309CF">
      <w:pPr>
        <w:rPr>
          <w:rFonts w:ascii="Avenir Book" w:hAnsi="Avenir Book" w:cs="Arial"/>
          <w:i/>
          <w:iCs/>
          <w:spacing w:val="6"/>
        </w:rPr>
      </w:pPr>
    </w:p>
    <w:p w14:paraId="148FADF1" w14:textId="5FF12660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Paola Marone, presidente di </w:t>
      </w:r>
      <w:proofErr w:type="spellStart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Federcostruzioni</w:t>
      </w:r>
      <w:proofErr w:type="spellEnd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 interviene sulle nuove restrizioni riguardanti l’utilizzo dei Bonus edilizi introdotte dall’articolo 28 del </w:t>
      </w:r>
      <w:proofErr w:type="gramStart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Decreto Legge</w:t>
      </w:r>
      <w:proofErr w:type="gramEnd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 Sostegni Ter pubblicato in Gazzetta Ufficiale. </w:t>
      </w:r>
    </w:p>
    <w:p w14:paraId="6710BDCE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«Il provvedimento colpisce e danneggia tutti: il mondo imprenditoriale, fornitori e cittadini, inclusi gli enti che amministrano gli immobili di edilizia residenziale pubblica. Così si ferma una macchina in corsa».</w:t>
      </w:r>
    </w:p>
    <w:p w14:paraId="084E7E14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spacing w:val="6"/>
          <w:sz w:val="22"/>
          <w:szCs w:val="22"/>
        </w:rPr>
        <w:t> </w:t>
      </w:r>
    </w:p>
    <w:p w14:paraId="46476A81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spacing w:val="6"/>
          <w:sz w:val="22"/>
          <w:szCs w:val="22"/>
        </w:rPr>
        <w:t>Bonus edilizi e cessione del credito: il Decreto Sostegni ter blocca i trasferimenti a catena</w:t>
      </w:r>
    </w:p>
    <w:p w14:paraId="3CCDBB45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spacing w:val="6"/>
          <w:sz w:val="22"/>
          <w:szCs w:val="22"/>
        </w:rPr>
        <w:t xml:space="preserve">Il 27 gennaio 2022 è stato pubblicato in Gazzetta ufficiale il </w:t>
      </w:r>
      <w:proofErr w:type="gramStart"/>
      <w:r w:rsidRPr="007309CF">
        <w:rPr>
          <w:rFonts w:ascii="Avenir Book" w:hAnsi="Avenir Book" w:cs="Arial"/>
          <w:spacing w:val="6"/>
          <w:sz w:val="22"/>
          <w:szCs w:val="22"/>
        </w:rPr>
        <w:t>Decreto legge</w:t>
      </w:r>
      <w:proofErr w:type="gramEnd"/>
      <w:r w:rsidRPr="007309CF">
        <w:rPr>
          <w:rFonts w:ascii="Avenir Book" w:hAnsi="Avenir Book" w:cs="Arial"/>
          <w:spacing w:val="6"/>
          <w:sz w:val="22"/>
          <w:szCs w:val="22"/>
        </w:rPr>
        <w:t xml:space="preserve"> numero 4 recante </w:t>
      </w: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“Misure urgenti in materia di sostegno alle i </w:t>
      </w:r>
      <w:proofErr w:type="spellStart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mprese</w:t>
      </w:r>
      <w:proofErr w:type="spellEnd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 e agli operatori economici, di lavoro, salute e servizi territoriali, connesse all’emergenza da COVID-19, nonché per il contenimento degli effetti degli aumenti dei prezzi nel settore elettrico” (cosiddetto “Sostegni ter”).</w:t>
      </w:r>
    </w:p>
    <w:p w14:paraId="3B9608D4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spacing w:val="6"/>
          <w:sz w:val="22"/>
          <w:szCs w:val="22"/>
        </w:rPr>
        <w:t xml:space="preserve">A sollevare forti polemiche è l’articolo 28 che introduce nuovi vincoli </w:t>
      </w:r>
      <w:proofErr w:type="gramStart"/>
      <w:r w:rsidRPr="007309CF">
        <w:rPr>
          <w:rFonts w:ascii="Avenir Book" w:hAnsi="Avenir Book" w:cs="Arial"/>
          <w:spacing w:val="6"/>
          <w:sz w:val="22"/>
          <w:szCs w:val="22"/>
        </w:rPr>
        <w:t>anti frode</w:t>
      </w:r>
      <w:proofErr w:type="gramEnd"/>
      <w:r w:rsidRPr="007309CF">
        <w:rPr>
          <w:rFonts w:ascii="Avenir Book" w:hAnsi="Avenir Book" w:cs="Arial"/>
          <w:spacing w:val="6"/>
          <w:sz w:val="22"/>
          <w:szCs w:val="22"/>
        </w:rPr>
        <w:t> che riguardano anche il mondo dell’edilizia: in dettaglio non saranno più possibili ulteriori cessioni di credito oltre la prima.</w:t>
      </w:r>
    </w:p>
    <w:p w14:paraId="05DD80CA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spacing w:val="6"/>
          <w:sz w:val="22"/>
          <w:szCs w:val="22"/>
        </w:rPr>
        <w:t xml:space="preserve">Una chiusura alla circolazione dei crediti che rischia di mettere in crisi il mercato edilizio e non solo. Per la presidente di </w:t>
      </w:r>
      <w:proofErr w:type="spellStart"/>
      <w:r w:rsidRPr="007309CF">
        <w:rPr>
          <w:rFonts w:ascii="Avenir Book" w:hAnsi="Avenir Book" w:cs="Arial"/>
          <w:spacing w:val="6"/>
          <w:sz w:val="22"/>
          <w:szCs w:val="22"/>
        </w:rPr>
        <w:t>Federcostruzioni</w:t>
      </w:r>
      <w:proofErr w:type="spellEnd"/>
      <w:r w:rsidRPr="007309CF">
        <w:rPr>
          <w:rFonts w:ascii="Avenir Book" w:hAnsi="Avenir Book" w:cs="Arial"/>
          <w:spacing w:val="6"/>
          <w:sz w:val="22"/>
          <w:szCs w:val="22"/>
        </w:rPr>
        <w:t>, Paola Marone, la misura avrà pesanti ripercussioni sul mercato e colpisce tutti, dal mondo imprenditoriale a quello professionale, fino agli stessi cittadini.</w:t>
      </w:r>
    </w:p>
    <w:p w14:paraId="7D709CAD" w14:textId="08C021FC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«Dal primo momento mi sono opposta a questa norma</w:t>
      </w:r>
      <w:r w:rsidRPr="007309CF">
        <w:rPr>
          <w:rFonts w:ascii="Avenir Book" w:hAnsi="Avenir Book" w:cs="Arial"/>
          <w:spacing w:val="6"/>
          <w:sz w:val="22"/>
          <w:szCs w:val="22"/>
        </w:rPr>
        <w:t> - ha dichiarato la presidente Marone - </w:t>
      </w: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perché crea un problema enorme a un mercato che è già partito, basti pensare che, come riportato dai dati Enea, al 31 dicembre 2021 risultavano incentivati 95.718 interventi edilizi con il </w:t>
      </w:r>
      <w:proofErr w:type="spellStart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Superbonus</w:t>
      </w:r>
      <w:proofErr w:type="spellEnd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 110%, per circa 16,2 miliardi di euro di investimenti».</w:t>
      </w:r>
    </w:p>
    <w:p w14:paraId="436D5FAD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spacing w:val="6"/>
          <w:sz w:val="22"/>
          <w:szCs w:val="22"/>
        </w:rPr>
        <w:t> </w:t>
      </w:r>
    </w:p>
    <w:p w14:paraId="55FC5633" w14:textId="4EDC8C04" w:rsidR="007309CF" w:rsidRDefault="007309CF" w:rsidP="007309CF">
      <w:pPr>
        <w:rPr>
          <w:rFonts w:ascii="Avenir Book" w:hAnsi="Avenir Book" w:cs="Arial"/>
          <w:i/>
          <w:iCs/>
          <w:spacing w:val="6"/>
          <w:sz w:val="22"/>
          <w:szCs w:val="22"/>
        </w:rPr>
      </w:pP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«Questa norma apre scenari problematici perché il rischio è di trovarsi in carenza di liquidità data la difficoltà a cedere i crediti. Le imprese di costruzione hanno già pianificato gli interventi e programmato piani di lavoro, per non parlare dei cantieri già avviati. I contratti con fornitori, sub appaltatori e professionisti sono già stati stipulati e sottoscritti secondo la normativa precedente e dal 7 febbraio rischiano di diventare carta straccia. È chiaro che tutte le misure volte a contrastare il rischio di frode sono condivisibili ma questa colpisce tutti e non solo chi deve essere colpito. Il continuo cambiamento delle regole del gioco, soprattutto in corsa, è allucinante, tanti imprenditori sono in una situazione di enorme difficoltà».</w:t>
      </w:r>
    </w:p>
    <w:p w14:paraId="7DF45F40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</w:p>
    <w:p w14:paraId="4C83C103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spacing w:val="6"/>
          <w:sz w:val="22"/>
          <w:szCs w:val="22"/>
        </w:rPr>
        <w:lastRenderedPageBreak/>
        <w:t>Come evidenziato dalla presidente della federazione di Confindustria che riunisce le categorie produttive più importanti del mercato edile e delle infrastrutture, le ripercussioni vanno ben oltre la filiera edile.</w:t>
      </w:r>
    </w:p>
    <w:p w14:paraId="75906BCD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«Gli scorsi mesi abbiamo assistito all’incremento di manodopera nel comparto edile, ora il rischio è la perdita di questi posti di lavoro, ciò significherà disoccupazione, cassa integrazione e maggiori spese per lo Stato - </w:t>
      </w:r>
      <w:r w:rsidRPr="007309CF">
        <w:rPr>
          <w:rFonts w:ascii="Avenir Book" w:hAnsi="Avenir Book" w:cs="Arial"/>
          <w:spacing w:val="6"/>
          <w:sz w:val="22"/>
          <w:szCs w:val="22"/>
        </w:rPr>
        <w:t>ha aggiunto Marone</w:t>
      </w: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 - oltretutto nessun professionista accetterà un credito che non può più andare a rinegoziare all’Istituto bancario ma che dovrà assorbire nel suo F24. Non solo, pensiamo alla confusione che si creerà nei confronti di quei tanti cittadini che avevano scelto di </w:t>
      </w:r>
      <w:proofErr w:type="spellStart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efficientare</w:t>
      </w:r>
      <w:proofErr w:type="spellEnd"/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 xml:space="preserve"> o mettere in sicurezza le proprie case, dando per scontato di potersi regolare in base a quanto previsto dal precedente quadro normativo. Allo stesso modo anche gli enti proprietari degli immobili di edilizia residenziale pubblica potrebbero avere grosse difficoltà».</w:t>
      </w:r>
    </w:p>
    <w:p w14:paraId="40847DE6" w14:textId="77777777" w:rsidR="007309CF" w:rsidRPr="007309CF" w:rsidRDefault="007309CF" w:rsidP="007309CF">
      <w:pPr>
        <w:rPr>
          <w:rFonts w:ascii="Avenir Book" w:hAnsi="Avenir Book" w:cs="Arial"/>
          <w:spacing w:val="6"/>
          <w:sz w:val="22"/>
          <w:szCs w:val="22"/>
        </w:rPr>
      </w:pPr>
      <w:r w:rsidRPr="007309CF">
        <w:rPr>
          <w:rFonts w:ascii="Avenir Book" w:hAnsi="Avenir Book" w:cs="Arial"/>
          <w:i/>
          <w:iCs/>
          <w:spacing w:val="6"/>
          <w:sz w:val="22"/>
          <w:szCs w:val="22"/>
        </w:rPr>
        <w:t>«Questa stretta colpisce tutti e danneggia il tessuto imprenditoriale del Paese, se non si cambia in sede di conversione assicurando continuità e certezza al meccanismo della cessione, si finirà per bloccare il comparto edile, da sempre motore dell’economia»</w:t>
      </w:r>
      <w:r w:rsidRPr="007309CF">
        <w:rPr>
          <w:rFonts w:ascii="Avenir Book" w:hAnsi="Avenir Book" w:cs="Arial"/>
          <w:spacing w:val="6"/>
          <w:sz w:val="22"/>
          <w:szCs w:val="22"/>
        </w:rPr>
        <w:t> ha concluso.</w:t>
      </w:r>
    </w:p>
    <w:p w14:paraId="3F5229D5" w14:textId="35DEC615" w:rsidR="00DC3761" w:rsidRPr="00DC3761" w:rsidRDefault="00DC3761" w:rsidP="00DC3761">
      <w:pPr>
        <w:rPr>
          <w:rFonts w:ascii="Avenir Book" w:hAnsi="Avenir Book" w:cs="Arial"/>
          <w:spacing w:val="6"/>
        </w:rPr>
      </w:pPr>
    </w:p>
    <w:p w14:paraId="4E1BA067" w14:textId="77777777" w:rsidR="00BD6E82" w:rsidRPr="00DC3761" w:rsidRDefault="007309CF">
      <w:pPr>
        <w:rPr>
          <w:rFonts w:ascii="Avenir Book" w:hAnsi="Avenir Book" w:cs="Arial"/>
          <w:spacing w:val="6"/>
        </w:rPr>
      </w:pPr>
    </w:p>
    <w:sectPr w:rsidR="00BD6E82" w:rsidRPr="00DC3761" w:rsidSect="003966F4">
      <w:headerReference w:type="default" r:id="rId6"/>
      <w:foot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56E1A" w14:textId="77777777" w:rsidR="007309CF" w:rsidRDefault="007309CF" w:rsidP="00DC3761">
      <w:r>
        <w:separator/>
      </w:r>
    </w:p>
  </w:endnote>
  <w:endnote w:type="continuationSeparator" w:id="0">
    <w:p w14:paraId="76B6EF12" w14:textId="77777777" w:rsidR="007309CF" w:rsidRDefault="007309CF" w:rsidP="00DC3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C8A9F" w14:textId="77777777" w:rsidR="00DC3761" w:rsidRPr="00F769BB" w:rsidRDefault="00DC3761" w:rsidP="00DC3761">
    <w:pPr>
      <w:pStyle w:val="Pidipagina"/>
      <w:pBdr>
        <w:top w:val="single" w:sz="4" w:space="1" w:color="auto"/>
      </w:pBdr>
      <w:rPr>
        <w:sz w:val="21"/>
        <w:szCs w:val="21"/>
      </w:rPr>
    </w:pPr>
    <w:r w:rsidRPr="00DC3761">
      <w:rPr>
        <w:sz w:val="21"/>
        <w:szCs w:val="21"/>
      </w:rPr>
      <w:t xml:space="preserve">Via Giuseppe Antonio </w:t>
    </w:r>
    <w:proofErr w:type="spellStart"/>
    <w:r w:rsidRPr="00DC3761">
      <w:rPr>
        <w:sz w:val="21"/>
        <w:szCs w:val="21"/>
      </w:rPr>
      <w:t>Guattani</w:t>
    </w:r>
    <w:proofErr w:type="spellEnd"/>
    <w:r w:rsidRPr="00DC3761">
      <w:rPr>
        <w:sz w:val="21"/>
        <w:szCs w:val="21"/>
      </w:rPr>
      <w:t>, 16, 00161 Roma 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568F6" w14:textId="77777777" w:rsidR="007309CF" w:rsidRDefault="007309CF" w:rsidP="00DC3761">
      <w:r>
        <w:separator/>
      </w:r>
    </w:p>
  </w:footnote>
  <w:footnote w:type="continuationSeparator" w:id="0">
    <w:p w14:paraId="35CE4422" w14:textId="77777777" w:rsidR="007309CF" w:rsidRDefault="007309CF" w:rsidP="00DC3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0FBD" w14:textId="77777777" w:rsidR="00DC3761" w:rsidRPr="00DC3761" w:rsidRDefault="00DC3761" w:rsidP="00DC3761">
    <w:pPr>
      <w:rPr>
        <w:rFonts w:ascii="Times New Roman" w:eastAsia="Times New Roman" w:hAnsi="Times New Roman" w:cs="Times New Roman"/>
        <w:lang w:eastAsia="it-IT"/>
      </w:rPr>
    </w:pPr>
    <w:r w:rsidRPr="00DC3761">
      <w:rPr>
        <w:rFonts w:ascii="Times New Roman" w:eastAsia="Times New Roman" w:hAnsi="Times New Roman" w:cs="Times New Roman"/>
        <w:lang w:eastAsia="it-IT"/>
      </w:rPr>
      <w:fldChar w:fldCharType="begin"/>
    </w:r>
    <w:r w:rsidRPr="00DC3761">
      <w:rPr>
        <w:rFonts w:ascii="Times New Roman" w:eastAsia="Times New Roman" w:hAnsi="Times New Roman" w:cs="Times New Roman"/>
        <w:lang w:eastAsia="it-IT"/>
      </w:rPr>
      <w:instrText xml:space="preserve"> INCLUDEPICTURE "/var/folders/tn/vzw27r_10xg1r1bkd5bzgr4h0000gn/T/com.microsoft.Word/WebArchiveCopyPasteTempFiles/federcostruzioni11.png" \* MERGEFORMATINET </w:instrText>
    </w:r>
    <w:r w:rsidRPr="00DC3761">
      <w:rPr>
        <w:rFonts w:ascii="Times New Roman" w:eastAsia="Times New Roman" w:hAnsi="Times New Roman" w:cs="Times New Roman"/>
        <w:lang w:eastAsia="it-IT"/>
      </w:rPr>
      <w:fldChar w:fldCharType="separate"/>
    </w:r>
    <w:r w:rsidRPr="00DC3761">
      <w:rPr>
        <w:rFonts w:ascii="Times New Roman" w:eastAsia="Times New Roman" w:hAnsi="Times New Roman" w:cs="Times New Roman"/>
        <w:noProof/>
        <w:lang w:eastAsia="it-IT"/>
      </w:rPr>
      <w:drawing>
        <wp:inline distT="0" distB="0" distL="0" distR="0" wp14:anchorId="5E9914E9" wp14:editId="31C40E41">
          <wp:extent cx="2833007" cy="513177"/>
          <wp:effectExtent l="0" t="0" r="0" b="0"/>
          <wp:docPr id="1" name="Immagine 1" descr="Federcostruzioni - REbuild It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dercostruzioni - REbuild Itali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84" t="42347" r="14237" b="40394"/>
                  <a:stretch/>
                </pic:blipFill>
                <pic:spPr bwMode="auto">
                  <a:xfrm>
                    <a:off x="0" y="0"/>
                    <a:ext cx="2903009" cy="5258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DC3761">
      <w:rPr>
        <w:rFonts w:ascii="Times New Roman" w:eastAsia="Times New Roman" w:hAnsi="Times New Roman" w:cs="Times New Roman"/>
        <w:lang w:eastAsia="it-IT"/>
      </w:rPr>
      <w:fldChar w:fldCharType="end"/>
    </w:r>
  </w:p>
  <w:p w14:paraId="3288B800" w14:textId="77777777" w:rsidR="00DC3761" w:rsidRDefault="00DC376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CF"/>
    <w:rsid w:val="003966F4"/>
    <w:rsid w:val="007309CF"/>
    <w:rsid w:val="00A865E4"/>
    <w:rsid w:val="00DC3761"/>
    <w:rsid w:val="00F63B8C"/>
    <w:rsid w:val="00F7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6C6808"/>
  <w15:chartTrackingRefBased/>
  <w15:docId w15:val="{E35760D6-5F52-A744-BE62-E0EA1D48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C37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3761"/>
  </w:style>
  <w:style w:type="paragraph" w:styleId="Pidipagina">
    <w:name w:val="footer"/>
    <w:basedOn w:val="Normale"/>
    <w:link w:val="PidipaginaCarattere"/>
    <w:uiPriority w:val="99"/>
    <w:unhideWhenUsed/>
    <w:rsid w:val="00DC37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3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9744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464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671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04585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1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dreadari/Library/Group%20Containers/UBF8T346G9.Office/User%20Content.localized/Templates.localized/FEDERCOSTRUZIONI%20-%20COMUNICATO%20STAMP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FEDERCOSTRUZIONI - COMUNICATO STAMPA.dotx</Template>
  <TotalTime>2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Andrea Dari</cp:lastModifiedBy>
  <cp:revision>1</cp:revision>
  <dcterms:created xsi:type="dcterms:W3CDTF">2022-02-21T08:04:00Z</dcterms:created>
  <dcterms:modified xsi:type="dcterms:W3CDTF">2022-02-21T08:06:00Z</dcterms:modified>
</cp:coreProperties>
</file>